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p w:rsidR="00E3165A" w:rsidRDefault="00E3165A" w:rsidP="00E3165A">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435582" w:rsidRDefault="005F12B2" w:rsidP="009A5F29">
            <w:pPr>
              <w:pStyle w:val="2"/>
              <w:bidi w:val="0"/>
              <w:rPr>
                <w:rFonts w:cs="Times New Roman"/>
                <w:sz w:val="24"/>
                <w:szCs w:val="24"/>
              </w:rPr>
            </w:pPr>
            <w:r>
              <w:rPr>
                <w:sz w:val="24"/>
                <w:szCs w:val="24"/>
              </w:rPr>
              <w:t>Connaissance et Aide à la décision</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BA60EA">
              <w:rPr>
                <w:rFonts w:cs="Times New Roman"/>
                <w:color w:val="800000"/>
                <w:sz w:val="22"/>
                <w:szCs w:val="22"/>
              </w:rPr>
              <w:t>6</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BA60EA" w:rsidP="009A5F29">
            <w:pPr>
              <w:pStyle w:val="2"/>
              <w:bidi w:val="0"/>
              <w:rPr>
                <w:rFonts w:cs="Times New Roman"/>
                <w:color w:val="800000"/>
                <w:sz w:val="22"/>
                <w:szCs w:val="22"/>
              </w:rPr>
            </w:pPr>
            <w:bookmarkStart w:id="9" w:name="_Toc190138132"/>
            <w:r>
              <w:rPr>
                <w:rFonts w:cs="Times New Roman"/>
                <w:color w:val="800000"/>
                <w:sz w:val="22"/>
                <w:szCs w:val="22"/>
                <w:lang w:bidi="ar-MA"/>
              </w:rPr>
              <w:t>Code UE : …UE 23</w:t>
            </w:r>
            <w:r w:rsidR="009A5F29">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BA60EA">
              <w:rPr>
                <w:color w:val="auto"/>
              </w:rPr>
              <w:t>2</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0718BC" w:rsidRDefault="000718BC" w:rsidP="000718BC">
            <w:pPr>
              <w:pStyle w:val="NormalWeb"/>
              <w:rPr>
                <w:b/>
                <w:bCs/>
              </w:rPr>
            </w:pPr>
            <w:r w:rsidRPr="001501C1">
              <w:rPr>
                <w:b/>
                <w:bCs/>
              </w:rPr>
              <w:t>Le cours vise à permettre à l’étudiant :</w:t>
            </w:r>
          </w:p>
          <w:p w:rsidR="000718BC" w:rsidRPr="000718BC" w:rsidRDefault="000718BC" w:rsidP="000718BC">
            <w:pPr>
              <w:pStyle w:val="Paragraphedeliste"/>
              <w:numPr>
                <w:ilvl w:val="0"/>
                <w:numId w:val="24"/>
              </w:numPr>
              <w:jc w:val="both"/>
              <w:rPr>
                <w:b/>
                <w:bCs/>
              </w:rPr>
            </w:pPr>
            <w:r w:rsidRPr="000718BC">
              <w:rPr>
                <w:rFonts w:asciiTheme="majorBidi" w:hAnsiTheme="majorBidi" w:cstheme="majorBidi"/>
                <w:b/>
                <w:bCs/>
              </w:rPr>
              <w:t>Expliquer le rôle et le principe du tableau de bord (spécifiquement destinée au manager) pour lui permettre de le concevoir et de l'utiliser à la fois comme un outil de performance opérationnelle, stratégique et managériale</w:t>
            </w:r>
            <w:r w:rsidRPr="000718BC">
              <w:rPr>
                <w:rFonts w:asciiTheme="majorBidi" w:hAnsiTheme="majorBidi" w:cstheme="majorBidi"/>
                <w:sz w:val="20"/>
                <w:szCs w:val="20"/>
              </w:rPr>
              <w:t>.</w:t>
            </w:r>
          </w:p>
          <w:p w:rsidR="000718BC" w:rsidRPr="001501C1" w:rsidRDefault="000718BC" w:rsidP="000718BC">
            <w:pPr>
              <w:pStyle w:val="NormalWeb"/>
              <w:numPr>
                <w:ilvl w:val="0"/>
                <w:numId w:val="23"/>
              </w:numPr>
              <w:rPr>
                <w:b/>
                <w:bCs/>
              </w:rPr>
            </w:pPr>
            <w:r w:rsidRPr="001501C1">
              <w:rPr>
                <w:b/>
                <w:bCs/>
                <w:lang w:val="fr-CA"/>
              </w:rPr>
              <w:t xml:space="preserve">Évaluer le rôle du </w:t>
            </w:r>
            <w:proofErr w:type="spellStart"/>
            <w:r w:rsidRPr="001501C1">
              <w:rPr>
                <w:b/>
                <w:bCs/>
              </w:rPr>
              <w:t>Knowledge</w:t>
            </w:r>
            <w:proofErr w:type="spellEnd"/>
            <w:r w:rsidRPr="001501C1">
              <w:rPr>
                <w:b/>
                <w:bCs/>
              </w:rPr>
              <w:t xml:space="preserve"> Management </w:t>
            </w:r>
            <w:r w:rsidRPr="001501C1">
              <w:rPr>
                <w:b/>
                <w:bCs/>
                <w:lang w:val="fr-CA"/>
              </w:rPr>
              <w:t>dans les affaires et celui des programmes qui le soutiennent</w:t>
            </w:r>
          </w:p>
          <w:p w:rsidR="000718BC" w:rsidRPr="001501C1" w:rsidRDefault="000718BC" w:rsidP="000718BC">
            <w:pPr>
              <w:pStyle w:val="NormalWeb"/>
              <w:numPr>
                <w:ilvl w:val="0"/>
                <w:numId w:val="23"/>
              </w:numPr>
              <w:rPr>
                <w:b/>
                <w:bCs/>
              </w:rPr>
            </w:pPr>
            <w:r w:rsidRPr="001501C1">
              <w:rPr>
                <w:b/>
                <w:bCs/>
                <w:lang w:val="fr-CA"/>
              </w:rPr>
              <w:t>Décrire les types de systèmes de gestion des connaissances d’entreprise et évaluer leur valeur</w:t>
            </w:r>
          </w:p>
          <w:p w:rsidR="000718BC" w:rsidRPr="001501C1" w:rsidRDefault="000718BC" w:rsidP="000718BC">
            <w:pPr>
              <w:pStyle w:val="NormalWeb"/>
              <w:numPr>
                <w:ilvl w:val="0"/>
                <w:numId w:val="23"/>
              </w:numPr>
              <w:rPr>
                <w:b/>
                <w:bCs/>
              </w:rPr>
            </w:pPr>
            <w:r w:rsidRPr="001501C1">
              <w:rPr>
                <w:b/>
                <w:bCs/>
                <w:lang w:val="fr-CA"/>
              </w:rPr>
              <w:t>Décrire les principaux types de systèmes pour le travail intellectuel et évaluer leur valeur</w:t>
            </w:r>
          </w:p>
          <w:p w:rsidR="000718BC" w:rsidRPr="001501C1" w:rsidRDefault="000718BC" w:rsidP="000718BC">
            <w:pPr>
              <w:pStyle w:val="NormalWeb"/>
              <w:numPr>
                <w:ilvl w:val="0"/>
                <w:numId w:val="23"/>
              </w:numPr>
              <w:rPr>
                <w:b/>
                <w:bCs/>
              </w:rPr>
            </w:pPr>
            <w:r w:rsidRPr="001501C1">
              <w:rPr>
                <w:b/>
                <w:bCs/>
                <w:lang w:val="fr-CA"/>
              </w:rPr>
              <w:t>Cerner les défis que comportent les systèmes de gestion des connaissances et suggérer  des solutions</w:t>
            </w:r>
          </w:p>
          <w:p w:rsidR="005F12B2" w:rsidRPr="00E3165A" w:rsidRDefault="00A4249A" w:rsidP="00A4249A">
            <w:pPr>
              <w:pStyle w:val="NormalWeb"/>
              <w:shd w:val="clear" w:color="auto" w:fill="FFFFFF"/>
              <w:spacing w:before="0" w:beforeAutospacing="0" w:after="0" w:afterAutospacing="0" w:line="195" w:lineRule="atLeast"/>
              <w:jc w:val="both"/>
              <w:rPr>
                <w:rFonts w:asciiTheme="majorBidi" w:hAnsiTheme="majorBidi" w:cstheme="majorBidi"/>
                <w:b/>
                <w:bCs/>
              </w:rPr>
            </w:pPr>
            <w:r w:rsidRPr="00E3165A">
              <w:rPr>
                <w:rFonts w:asciiTheme="majorBidi" w:hAnsiTheme="majorBidi" w:cstheme="majorBidi"/>
                <w:b/>
                <w:bCs/>
              </w:rPr>
              <w:t>Expliquer par suite que l'apparition du web 2.0 et son modèle d'intelligence participative offre désormais au gestionnaire de nouvelles perspectives : décloisonner le management et la gestion de l’information en connectant les personnes. Cet enseignement vise aussi la présentation de différents outils permettant la mise en place des réseaux de savoirs et des communautés de pratique qui s'impliquent et s'approprient collectivement les objectifs de l'entreprise, par le partage de l’information.</w:t>
            </w:r>
          </w:p>
          <w:p w:rsidR="005F12B2" w:rsidRPr="009A1FFA" w:rsidRDefault="005F12B2" w:rsidP="005F12B2">
            <w:pPr>
              <w:pStyle w:val="2"/>
              <w:bidi w:val="0"/>
              <w:jc w:val="both"/>
              <w:rPr>
                <w:rFonts w:asciiTheme="majorBidi" w:hAnsiTheme="majorBidi" w:cstheme="majorBidi"/>
                <w:sz w:val="24"/>
                <w:szCs w:val="24"/>
              </w:rPr>
            </w:pPr>
          </w:p>
        </w:tc>
      </w:tr>
    </w:tbl>
    <w:p w:rsidR="00E3165A" w:rsidRDefault="00E3165A" w:rsidP="009A5F29">
      <w:pPr>
        <w:pStyle w:val="5"/>
      </w:pPr>
    </w:p>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Default="00435582" w:rsidP="00435582">
            <w:pPr>
              <w:pStyle w:val="2"/>
              <w:bidi w:val="0"/>
              <w:jc w:val="both"/>
              <w:rPr>
                <w:rFonts w:cs="Times New Roman"/>
                <w:color w:val="auto"/>
                <w:sz w:val="24"/>
                <w:szCs w:val="24"/>
              </w:rPr>
            </w:pPr>
            <w:r w:rsidRPr="00435582">
              <w:rPr>
                <w:rFonts w:cs="Times New Roman"/>
                <w:color w:val="auto"/>
                <w:sz w:val="24"/>
                <w:szCs w:val="24"/>
              </w:rPr>
              <w:t xml:space="preserve">Maitrise des outils </w:t>
            </w:r>
            <w:r w:rsidR="00587104">
              <w:rPr>
                <w:rFonts w:cs="Times New Roman"/>
                <w:color w:val="auto"/>
                <w:sz w:val="24"/>
                <w:szCs w:val="24"/>
              </w:rPr>
              <w:t xml:space="preserve">bureautiques et </w:t>
            </w:r>
            <w:r w:rsidRPr="00435582">
              <w:rPr>
                <w:rFonts w:cs="Times New Roman"/>
                <w:color w:val="auto"/>
                <w:sz w:val="24"/>
                <w:szCs w:val="24"/>
              </w:rPr>
              <w:t>internet (navigation, recherche documentaire, traitement de l’information,</w:t>
            </w:r>
            <w:r w:rsidR="00587104">
              <w:rPr>
                <w:rFonts w:cs="Times New Roman"/>
                <w:color w:val="auto"/>
                <w:sz w:val="24"/>
                <w:szCs w:val="24"/>
              </w:rPr>
              <w:t xml:space="preserve"> travail collaboratif en ligne,</w:t>
            </w:r>
            <w:r w:rsidRPr="00435582">
              <w:rPr>
                <w:rFonts w:cs="Times New Roman"/>
                <w:color w:val="auto"/>
                <w:sz w:val="24"/>
                <w:szCs w:val="24"/>
              </w:rPr>
              <w:t>…)</w:t>
            </w:r>
            <w:r w:rsidR="00E04E94">
              <w:rPr>
                <w:rFonts w:cs="Times New Roman"/>
                <w:color w:val="auto"/>
                <w:sz w:val="24"/>
                <w:szCs w:val="24"/>
              </w:rPr>
              <w:t>.</w:t>
            </w:r>
          </w:p>
          <w:p w:rsidR="00E04E94" w:rsidRPr="00435582" w:rsidRDefault="00E04E94" w:rsidP="00E04E94">
            <w:pPr>
              <w:pStyle w:val="2"/>
              <w:bidi w:val="0"/>
              <w:jc w:val="both"/>
              <w:rPr>
                <w:rFonts w:cs="Times New Roman"/>
                <w:color w:val="auto"/>
                <w:sz w:val="24"/>
                <w:szCs w:val="24"/>
              </w:rPr>
            </w:pPr>
            <w:r>
              <w:rPr>
                <w:rFonts w:cs="Times New Roman"/>
                <w:color w:val="auto"/>
                <w:sz w:val="24"/>
                <w:szCs w:val="24"/>
              </w:rPr>
              <w:t>Connaissances de base en gestion de l’information.</w:t>
            </w:r>
          </w:p>
        </w:tc>
      </w:tr>
    </w:tbl>
    <w:p w:rsidR="00E3165A" w:rsidRDefault="00E3165A" w:rsidP="009A5F29">
      <w:pPr>
        <w:pStyle w:val="5"/>
      </w:pPr>
    </w:p>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lastRenderedPageBreak/>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1761"/>
        <w:gridCol w:w="986"/>
        <w:gridCol w:w="1183"/>
        <w:gridCol w:w="1435"/>
        <w:gridCol w:w="1366"/>
      </w:tblGrid>
      <w:tr w:rsidR="009A5F29" w:rsidTr="00DE43A6">
        <w:trPr>
          <w:jc w:val="center"/>
        </w:trPr>
        <w:tc>
          <w:tcPr>
            <w:tcW w:w="3047"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5365" w:type="dxa"/>
            <w:gridSpan w:val="4"/>
            <w:shd w:val="clear" w:color="auto" w:fill="auto"/>
            <w:vAlign w:val="center"/>
          </w:tcPr>
          <w:p w:rsidR="009A5F29" w:rsidRPr="00A4249A" w:rsidRDefault="00333DEC" w:rsidP="009A5F29">
            <w:pPr>
              <w:pStyle w:val="Corpsdetexte2"/>
              <w:bidi w:val="0"/>
              <w:jc w:val="center"/>
              <w:rPr>
                <w:color w:val="FF0000"/>
                <w:sz w:val="24"/>
                <w:szCs w:val="24"/>
              </w:rPr>
            </w:pPr>
            <w:r w:rsidRPr="00A4249A">
              <w:rPr>
                <w:b/>
                <w:bCs/>
                <w:color w:val="FF0000"/>
                <w:sz w:val="22"/>
                <w:szCs w:val="22"/>
              </w:rPr>
              <w:t xml:space="preserve">Volume des heures de formation </w:t>
            </w:r>
            <w:proofErr w:type="spellStart"/>
            <w:r w:rsidRPr="00A4249A">
              <w:rPr>
                <w:b/>
                <w:bCs/>
                <w:color w:val="FF0000"/>
                <w:sz w:val="22"/>
                <w:szCs w:val="22"/>
              </w:rPr>
              <w:t>présentielles</w:t>
            </w:r>
            <w:proofErr w:type="spellEnd"/>
            <w:r w:rsidRPr="00A4249A">
              <w:rPr>
                <w:b/>
                <w:bCs/>
                <w:color w:val="FF0000"/>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DE43A6">
        <w:trPr>
          <w:jc w:val="center"/>
        </w:trPr>
        <w:tc>
          <w:tcPr>
            <w:tcW w:w="3047" w:type="dxa"/>
          </w:tcPr>
          <w:p w:rsidR="009A5F29" w:rsidRDefault="009A5F29" w:rsidP="009A5F29">
            <w:pPr>
              <w:pStyle w:val="Corpsdetexte2"/>
              <w:bidi w:val="0"/>
              <w:jc w:val="center"/>
              <w:rPr>
                <w:color w:val="FF0000"/>
                <w:sz w:val="24"/>
                <w:szCs w:val="24"/>
              </w:rPr>
            </w:pPr>
          </w:p>
        </w:tc>
        <w:tc>
          <w:tcPr>
            <w:tcW w:w="1761"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DE43A6">
        <w:trPr>
          <w:jc w:val="center"/>
        </w:trPr>
        <w:tc>
          <w:tcPr>
            <w:tcW w:w="3047" w:type="dxa"/>
            <w:vAlign w:val="center"/>
          </w:tcPr>
          <w:p w:rsidR="009A5F29" w:rsidRPr="00611A7A" w:rsidRDefault="009A5F29" w:rsidP="00BA60EA">
            <w:pPr>
              <w:pStyle w:val="Contenudetableau"/>
              <w:rPr>
                <w:rFonts w:asciiTheme="majorBidi" w:hAnsiTheme="majorBidi" w:cstheme="majorBidi"/>
                <w:b/>
                <w:bCs/>
              </w:rPr>
            </w:pPr>
            <w:r w:rsidRPr="00611A7A">
              <w:rPr>
                <w:rFonts w:asciiTheme="majorBidi" w:hAnsiTheme="majorBidi" w:cstheme="majorBidi"/>
                <w:b/>
                <w:bCs/>
              </w:rPr>
              <w:t>1</w:t>
            </w:r>
            <w:r w:rsidR="00FE56EE">
              <w:rPr>
                <w:rFonts w:asciiTheme="majorBidi" w:hAnsiTheme="majorBidi" w:cstheme="majorBidi"/>
                <w:b/>
                <w:bCs/>
              </w:rPr>
              <w:t xml:space="preserve">-Tableau de bord et </w:t>
            </w:r>
            <w:proofErr w:type="spellStart"/>
            <w:r w:rsidR="00FE56EE">
              <w:rPr>
                <w:rFonts w:asciiTheme="majorBidi" w:hAnsiTheme="majorBidi" w:cstheme="majorBidi"/>
                <w:b/>
                <w:bCs/>
              </w:rPr>
              <w:t>R</w:t>
            </w:r>
            <w:r w:rsidR="00BA60EA">
              <w:rPr>
                <w:rFonts w:asciiTheme="majorBidi" w:hAnsiTheme="majorBidi" w:cstheme="majorBidi"/>
                <w:b/>
                <w:bCs/>
              </w:rPr>
              <w:t>eporting</w:t>
            </w:r>
            <w:proofErr w:type="spellEnd"/>
          </w:p>
        </w:tc>
        <w:tc>
          <w:tcPr>
            <w:tcW w:w="1761" w:type="dxa"/>
            <w:vAlign w:val="center"/>
          </w:tcPr>
          <w:p w:rsidR="009A5F29" w:rsidRPr="00435582" w:rsidRDefault="00BA60EA" w:rsidP="00435582">
            <w:pPr>
              <w:pStyle w:val="6"/>
              <w:spacing w:before="0"/>
              <w:jc w:val="center"/>
              <w:rPr>
                <w:b w:val="0"/>
                <w:bCs w:val="0"/>
                <w:color w:val="auto"/>
              </w:rPr>
            </w:pPr>
            <w:r>
              <w:rPr>
                <w:b w:val="0"/>
                <w:bCs w:val="0"/>
                <w:color w:val="auto"/>
              </w:rPr>
              <w:t>42</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DE43A6">
        <w:trPr>
          <w:jc w:val="center"/>
        </w:trPr>
        <w:tc>
          <w:tcPr>
            <w:tcW w:w="3047" w:type="dxa"/>
            <w:vAlign w:val="center"/>
          </w:tcPr>
          <w:p w:rsidR="009A5F29" w:rsidRPr="00435582" w:rsidRDefault="009A5F29" w:rsidP="00BA60EA">
            <w:pPr>
              <w:pStyle w:val="Contenudetableau"/>
              <w:snapToGrid w:val="0"/>
            </w:pPr>
            <w:r w:rsidRPr="00435582">
              <w:rPr>
                <w:b/>
                <w:bCs/>
              </w:rPr>
              <w:t>2</w:t>
            </w:r>
            <w:r w:rsidR="00435582" w:rsidRPr="00435582">
              <w:rPr>
                <w:b/>
                <w:bCs/>
              </w:rPr>
              <w:t xml:space="preserve"> </w:t>
            </w:r>
            <w:r w:rsidR="00BA60EA">
              <w:rPr>
                <w:b/>
                <w:bCs/>
              </w:rPr>
              <w:t>–</w:t>
            </w:r>
            <w:r w:rsidR="005F12B2">
              <w:rPr>
                <w:b/>
                <w:bCs/>
              </w:rPr>
              <w:t xml:space="preserve"> Outils</w:t>
            </w:r>
            <w:r w:rsidR="00BA60EA">
              <w:rPr>
                <w:b/>
                <w:bCs/>
              </w:rPr>
              <w:t xml:space="preserve"> du</w:t>
            </w:r>
            <w:r w:rsidR="005F12B2">
              <w:rPr>
                <w:b/>
                <w:bCs/>
              </w:rPr>
              <w:t xml:space="preserve"> KM </w:t>
            </w:r>
            <w:r w:rsidR="00BA60EA">
              <w:rPr>
                <w:b/>
                <w:bCs/>
              </w:rPr>
              <w:t>(Gestion de connaissances)</w:t>
            </w: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BA60EA" w:rsidP="00435582">
            <w:pPr>
              <w:pStyle w:val="Corpsdetexte2"/>
              <w:bidi w:val="0"/>
              <w:jc w:val="center"/>
              <w:rPr>
                <w:sz w:val="24"/>
                <w:szCs w:val="24"/>
              </w:rPr>
            </w:pPr>
            <w:r>
              <w:rPr>
                <w:sz w:val="24"/>
                <w:szCs w:val="24"/>
              </w:rPr>
              <w:t>3</w:t>
            </w:r>
          </w:p>
        </w:tc>
      </w:tr>
      <w:tr w:rsidR="009A5F29" w:rsidTr="00DE43A6">
        <w:trPr>
          <w:jc w:val="center"/>
        </w:trPr>
        <w:tc>
          <w:tcPr>
            <w:tcW w:w="3047"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761" w:type="dxa"/>
            <w:vAlign w:val="center"/>
          </w:tcPr>
          <w:p w:rsidR="009A5F29" w:rsidRPr="00435582" w:rsidRDefault="005F12B2" w:rsidP="009A5F29">
            <w:pPr>
              <w:pStyle w:val="Corpsdetexte2"/>
              <w:bidi w:val="0"/>
              <w:jc w:val="center"/>
              <w:rPr>
                <w:sz w:val="24"/>
                <w:szCs w:val="24"/>
              </w:rPr>
            </w:pPr>
            <w:r>
              <w:rPr>
                <w:sz w:val="24"/>
                <w:szCs w:val="24"/>
              </w:rPr>
              <w:t>63</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BA60EA" w:rsidP="009A5F29">
            <w:pPr>
              <w:pStyle w:val="Corpsdetexte2"/>
              <w:bidi w:val="0"/>
              <w:jc w:val="center"/>
              <w:rPr>
                <w:sz w:val="24"/>
                <w:szCs w:val="24"/>
              </w:rPr>
            </w:pPr>
            <w:r>
              <w:rPr>
                <w:sz w:val="24"/>
                <w:szCs w:val="24"/>
              </w:rPr>
              <w:t>6</w:t>
            </w:r>
          </w:p>
        </w:tc>
      </w:tr>
    </w:tbl>
    <w:p w:rsidR="00E3165A" w:rsidRDefault="00E3165A" w:rsidP="009A5F29">
      <w:pPr>
        <w:pStyle w:val="6"/>
      </w:pPr>
    </w:p>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E04E94" w:rsidP="009A5F29">
            <w:pPr>
              <w:pStyle w:val="Corpsdetexte2"/>
              <w:bidi w:val="0"/>
              <w:jc w:val="center"/>
              <w:rPr>
                <w:color w:val="FF0000"/>
                <w:sz w:val="24"/>
                <w:szCs w:val="24"/>
              </w:rPr>
            </w:pPr>
            <w:r w:rsidRPr="00435582">
              <w:rPr>
                <w:sz w:val="24"/>
                <w:szCs w:val="24"/>
              </w:rPr>
              <w:t>Etudes de cas</w:t>
            </w:r>
          </w:p>
        </w:tc>
        <w:tc>
          <w:tcPr>
            <w:tcW w:w="1634" w:type="dxa"/>
            <w:vAlign w:val="center"/>
          </w:tcPr>
          <w:p w:rsidR="009A5F29" w:rsidRPr="00435582" w:rsidRDefault="00E04E94" w:rsidP="00186FBD">
            <w:pPr>
              <w:pStyle w:val="Corpsdetexte2"/>
              <w:bidi w:val="0"/>
              <w:rPr>
                <w:sz w:val="24"/>
                <w:szCs w:val="24"/>
              </w:rPr>
            </w:pPr>
            <w:r>
              <w:rPr>
                <w:sz w:val="24"/>
                <w:szCs w:val="24"/>
              </w:rPr>
              <w:t>Exposés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A276F6" w:rsidRDefault="00A276F6" w:rsidP="009A5F29">
      <w:pPr>
        <w:pStyle w:val="5"/>
      </w:pPr>
    </w:p>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CA7E52" w:rsidRPr="00CA7E52" w:rsidRDefault="009A5F29" w:rsidP="00CA7E52">
            <w:pPr>
              <w:jc w:val="both"/>
              <w:rPr>
                <w:b/>
                <w:bCs/>
              </w:rPr>
            </w:pPr>
            <w:r w:rsidRPr="00CA7E52">
              <w:rPr>
                <w:b/>
                <w:bCs/>
              </w:rPr>
              <w:t>1</w:t>
            </w:r>
            <w:r w:rsidR="00CA7E52">
              <w:rPr>
                <w:b/>
                <w:bCs/>
              </w:rPr>
              <w:t>- permettre aux apprenants de maitriser la notion de</w:t>
            </w:r>
            <w:r w:rsidR="00CA7E52" w:rsidRPr="00CA7E52">
              <w:rPr>
                <w:rFonts w:asciiTheme="majorBidi" w:hAnsiTheme="majorBidi" w:cstheme="majorBidi"/>
                <w:b/>
                <w:bCs/>
              </w:rPr>
              <w:t xml:space="preserve"> tableau de bord (spécifiqueme</w:t>
            </w:r>
            <w:r w:rsidR="00CA7E52">
              <w:rPr>
                <w:rFonts w:asciiTheme="majorBidi" w:hAnsiTheme="majorBidi" w:cstheme="majorBidi"/>
                <w:b/>
                <w:bCs/>
              </w:rPr>
              <w:t>nt destinée au manager) pour leur</w:t>
            </w:r>
            <w:r w:rsidR="00CA7E52" w:rsidRPr="00CA7E52">
              <w:rPr>
                <w:rFonts w:asciiTheme="majorBidi" w:hAnsiTheme="majorBidi" w:cstheme="majorBidi"/>
                <w:b/>
                <w:bCs/>
              </w:rPr>
              <w:t xml:space="preserve"> permettre de le concevoir et de l'utiliser à la fois comme un outil de performance opérationnelle, stratégique et managériale</w:t>
            </w:r>
            <w:r w:rsidR="00CA7E52" w:rsidRPr="00CA7E52">
              <w:rPr>
                <w:rFonts w:asciiTheme="majorBidi" w:hAnsiTheme="majorBidi" w:cstheme="majorBidi"/>
                <w:sz w:val="20"/>
                <w:szCs w:val="20"/>
              </w:rPr>
              <w:t>.</w:t>
            </w:r>
          </w:p>
          <w:p w:rsidR="009A5F29" w:rsidRPr="0080235A" w:rsidRDefault="009A5F29" w:rsidP="001A0D61"/>
        </w:tc>
      </w:tr>
      <w:tr w:rsidR="009A5F29">
        <w:tc>
          <w:tcPr>
            <w:tcW w:w="9778" w:type="dxa"/>
          </w:tcPr>
          <w:p w:rsidR="0080235A" w:rsidRPr="0080235A" w:rsidRDefault="009A5F29" w:rsidP="0080235A">
            <w:pPr>
              <w:pStyle w:val="NormalWeb"/>
              <w:shd w:val="clear" w:color="auto" w:fill="FFFFFF"/>
              <w:spacing w:before="0" w:beforeAutospacing="0" w:after="0" w:afterAutospacing="0" w:line="195" w:lineRule="atLeast"/>
              <w:jc w:val="both"/>
              <w:rPr>
                <w:rFonts w:asciiTheme="majorHAnsi" w:hAnsiTheme="majorHAnsi"/>
                <w:b/>
                <w:bCs/>
              </w:rPr>
            </w:pPr>
            <w:r w:rsidRPr="0080235A">
              <w:rPr>
                <w:rFonts w:asciiTheme="majorBidi" w:hAnsiTheme="majorBidi" w:cstheme="majorBidi"/>
                <w:b/>
                <w:bCs/>
              </w:rPr>
              <w:t xml:space="preserve">2- </w:t>
            </w:r>
            <w:r w:rsidR="0080235A" w:rsidRPr="0080235A">
              <w:rPr>
                <w:rFonts w:asciiTheme="majorHAnsi" w:hAnsiTheme="majorHAnsi"/>
                <w:b/>
                <w:bCs/>
              </w:rPr>
              <w:t>Ce module permet aux apprenants de:</w:t>
            </w:r>
          </w:p>
          <w:p w:rsidR="0080235A" w:rsidRDefault="0080235A" w:rsidP="0080235A">
            <w:pPr>
              <w:pStyle w:val="NormalWeb"/>
              <w:numPr>
                <w:ilvl w:val="0"/>
                <w:numId w:val="17"/>
              </w:numPr>
              <w:shd w:val="clear" w:color="auto" w:fill="FFFFFF"/>
              <w:spacing w:before="0" w:beforeAutospacing="0" w:after="0" w:afterAutospacing="0" w:line="195" w:lineRule="atLeast"/>
              <w:jc w:val="both"/>
              <w:rPr>
                <w:rFonts w:asciiTheme="majorHAnsi" w:hAnsiTheme="majorHAnsi"/>
                <w:b/>
                <w:bCs/>
              </w:rPr>
            </w:pPr>
            <w:r w:rsidRPr="0080235A">
              <w:rPr>
                <w:rFonts w:asciiTheme="majorHAnsi" w:hAnsiTheme="majorHAnsi"/>
                <w:b/>
                <w:bCs/>
              </w:rPr>
              <w:t>Se familiariser a</w:t>
            </w:r>
            <w:r w:rsidR="006B56B2">
              <w:rPr>
                <w:rFonts w:asciiTheme="majorHAnsi" w:hAnsiTheme="majorHAnsi"/>
                <w:b/>
                <w:bCs/>
              </w:rPr>
              <w:t>ux outils de gestion de</w:t>
            </w:r>
            <w:r w:rsidR="001A0D61">
              <w:rPr>
                <w:rFonts w:asciiTheme="majorHAnsi" w:hAnsiTheme="majorHAnsi"/>
                <w:b/>
                <w:bCs/>
              </w:rPr>
              <w:t xml:space="preserve"> connaissances (KM)</w:t>
            </w:r>
          </w:p>
          <w:p w:rsidR="008A5AB4" w:rsidRPr="0080235A" w:rsidRDefault="008A5AB4" w:rsidP="0080235A">
            <w:pPr>
              <w:pStyle w:val="NormalWeb"/>
              <w:numPr>
                <w:ilvl w:val="0"/>
                <w:numId w:val="17"/>
              </w:numPr>
              <w:shd w:val="clear" w:color="auto" w:fill="FFFFFF"/>
              <w:spacing w:before="0" w:beforeAutospacing="0" w:after="0" w:afterAutospacing="0" w:line="195" w:lineRule="atLeast"/>
              <w:jc w:val="both"/>
              <w:rPr>
                <w:rFonts w:asciiTheme="majorHAnsi" w:hAnsiTheme="majorHAnsi"/>
                <w:b/>
                <w:bCs/>
              </w:rPr>
            </w:pPr>
            <w:r>
              <w:rPr>
                <w:rFonts w:asciiTheme="majorHAnsi" w:hAnsiTheme="majorHAnsi"/>
                <w:b/>
                <w:bCs/>
              </w:rPr>
              <w:t xml:space="preserve">Se familiariser aux tableaux de bord et outils de </w:t>
            </w:r>
            <w:proofErr w:type="spellStart"/>
            <w:r>
              <w:rPr>
                <w:rFonts w:asciiTheme="majorHAnsi" w:hAnsiTheme="majorHAnsi"/>
                <w:b/>
                <w:bCs/>
              </w:rPr>
              <w:t>reporting</w:t>
            </w:r>
            <w:proofErr w:type="spellEnd"/>
            <w:r>
              <w:rPr>
                <w:rFonts w:asciiTheme="majorHAnsi" w:hAnsiTheme="majorHAnsi"/>
                <w:b/>
                <w:bCs/>
              </w:rPr>
              <w:t xml:space="preserve"> pour le manager (pilotage et </w:t>
            </w:r>
            <w:proofErr w:type="spellStart"/>
            <w:r>
              <w:rPr>
                <w:rFonts w:asciiTheme="majorHAnsi" w:hAnsiTheme="majorHAnsi"/>
                <w:b/>
                <w:bCs/>
              </w:rPr>
              <w:t>contôle</w:t>
            </w:r>
            <w:proofErr w:type="spellEnd"/>
            <w:r>
              <w:rPr>
                <w:rFonts w:asciiTheme="majorHAnsi" w:hAnsiTheme="majorHAnsi"/>
                <w:b/>
                <w:bCs/>
              </w:rPr>
              <w:t>).</w:t>
            </w:r>
          </w:p>
          <w:p w:rsidR="0080235A" w:rsidRPr="0080235A"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sidRPr="0080235A">
              <w:rPr>
                <w:rFonts w:asciiTheme="majorHAnsi" w:eastAsia="Times New Roman" w:hAnsiTheme="majorHAnsi" w:cs="Times New Roman"/>
                <w:b/>
                <w:bCs/>
                <w:sz w:val="24"/>
                <w:szCs w:val="24"/>
                <w:lang w:eastAsia="fr-FR"/>
              </w:rPr>
              <w:t xml:space="preserve">Prendre conscience de la nécessité d’engager l’entreprise dans une nouvelle culture de la collaboration, et d’adopter des nouveaux modes de management </w:t>
            </w:r>
          </w:p>
          <w:p w:rsidR="0080235A" w:rsidRPr="0080235A" w:rsidRDefault="001A0D61"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Pr>
                <w:rFonts w:asciiTheme="majorHAnsi" w:eastAsia="Times New Roman" w:hAnsiTheme="majorHAnsi" w:cs="Times New Roman"/>
                <w:b/>
                <w:bCs/>
                <w:sz w:val="24"/>
                <w:szCs w:val="24"/>
                <w:lang w:eastAsia="fr-FR"/>
              </w:rPr>
              <w:t>Connaitre les o</w:t>
            </w:r>
            <w:r w:rsidR="0080235A" w:rsidRPr="0080235A">
              <w:rPr>
                <w:rFonts w:asciiTheme="majorHAnsi" w:eastAsia="Times New Roman" w:hAnsiTheme="majorHAnsi" w:cs="Times New Roman"/>
                <w:b/>
                <w:bCs/>
                <w:sz w:val="24"/>
                <w:szCs w:val="24"/>
                <w:lang w:eastAsia="fr-FR"/>
              </w:rPr>
              <w:t xml:space="preserve">utils Web 2.0 pour le </w:t>
            </w:r>
            <w:proofErr w:type="spellStart"/>
            <w:r w:rsidR="0080235A" w:rsidRPr="0080235A">
              <w:rPr>
                <w:rFonts w:asciiTheme="majorHAnsi" w:eastAsia="Times New Roman" w:hAnsiTheme="majorHAnsi" w:cs="Times New Roman"/>
                <w:b/>
                <w:bCs/>
                <w:sz w:val="24"/>
                <w:szCs w:val="24"/>
                <w:lang w:eastAsia="fr-FR"/>
              </w:rPr>
              <w:t>knowledge</w:t>
            </w:r>
            <w:proofErr w:type="spellEnd"/>
            <w:r w:rsidR="0080235A" w:rsidRPr="0080235A">
              <w:rPr>
                <w:rFonts w:asciiTheme="majorHAnsi" w:eastAsia="Times New Roman" w:hAnsiTheme="majorHAnsi" w:cs="Times New Roman"/>
                <w:b/>
                <w:bCs/>
                <w:sz w:val="24"/>
                <w:szCs w:val="24"/>
                <w:lang w:eastAsia="fr-FR"/>
              </w:rPr>
              <w:t xml:space="preserve"> management </w:t>
            </w:r>
          </w:p>
          <w:p w:rsidR="0080235A" w:rsidRPr="0080235A" w:rsidRDefault="0080235A" w:rsidP="0080235A">
            <w:pPr>
              <w:pStyle w:val="Paragraphedeliste"/>
              <w:numPr>
                <w:ilvl w:val="0"/>
                <w:numId w:val="17"/>
              </w:numPr>
              <w:autoSpaceDE w:val="0"/>
              <w:autoSpaceDN w:val="0"/>
              <w:adjustRightInd w:val="0"/>
              <w:spacing w:after="0" w:line="240" w:lineRule="auto"/>
              <w:rPr>
                <w:rFonts w:asciiTheme="majorHAnsi" w:eastAsia="Times New Roman" w:hAnsiTheme="majorHAnsi" w:cs="Times New Roman"/>
                <w:b/>
                <w:bCs/>
                <w:sz w:val="24"/>
                <w:szCs w:val="24"/>
                <w:lang w:eastAsia="fr-FR"/>
              </w:rPr>
            </w:pPr>
            <w:r w:rsidRPr="0080235A">
              <w:rPr>
                <w:rFonts w:asciiTheme="majorHAnsi" w:eastAsia="Times New Roman" w:hAnsiTheme="majorHAnsi" w:cs="Times New Roman"/>
                <w:b/>
                <w:bCs/>
                <w:sz w:val="24"/>
                <w:szCs w:val="24"/>
                <w:lang w:eastAsia="fr-FR"/>
              </w:rPr>
              <w:t>Aborder les techniques d’animation des réseaux et communautés</w:t>
            </w:r>
            <w:r w:rsidR="006B56B2">
              <w:rPr>
                <w:rFonts w:asciiTheme="majorHAnsi" w:eastAsia="Times New Roman" w:hAnsiTheme="majorHAnsi" w:cs="Times New Roman"/>
                <w:b/>
                <w:bCs/>
                <w:sz w:val="24"/>
                <w:szCs w:val="24"/>
                <w:lang w:eastAsia="fr-FR"/>
              </w:rPr>
              <w:t xml:space="preserve"> au service du KM</w:t>
            </w:r>
          </w:p>
          <w:p w:rsidR="009A5F29" w:rsidRPr="0080235A" w:rsidRDefault="009A5F29" w:rsidP="005F12B2">
            <w:pPr>
              <w:pStyle w:val="Default"/>
              <w:rPr>
                <w:rFonts w:cs="Times New Roman"/>
                <w:b/>
                <w:bCs/>
              </w:rPr>
            </w:pP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EE6D21">
        <w:tc>
          <w:tcPr>
            <w:tcW w:w="9778" w:type="dxa"/>
          </w:tcPr>
          <w:p w:rsidR="00E04E94" w:rsidRPr="00EE6D21" w:rsidRDefault="009A5F29" w:rsidP="001A0D61">
            <w:pPr>
              <w:autoSpaceDE w:val="0"/>
              <w:autoSpaceDN w:val="0"/>
              <w:adjustRightInd w:val="0"/>
              <w:jc w:val="both"/>
              <w:rPr>
                <w:b/>
                <w:bCs/>
              </w:rPr>
            </w:pPr>
            <w:r w:rsidRPr="00EE6D21">
              <w:rPr>
                <w:b/>
                <w:bCs/>
              </w:rPr>
              <w:t>1</w:t>
            </w:r>
            <w:r w:rsidRPr="00EE6D21">
              <w:rPr>
                <w:rFonts w:asciiTheme="majorBidi" w:hAnsiTheme="majorBidi" w:cstheme="majorBidi"/>
                <w:b/>
                <w:bCs/>
              </w:rPr>
              <w:t>-</w:t>
            </w:r>
            <w:r w:rsidR="005F12B2" w:rsidRPr="00EE6D21">
              <w:rPr>
                <w:b/>
                <w:bCs/>
              </w:rPr>
              <w:t xml:space="preserve"> </w:t>
            </w:r>
            <w:r w:rsidR="008A5AB4">
              <w:rPr>
                <w:rFonts w:asciiTheme="majorBidi" w:hAnsiTheme="majorBidi" w:cstheme="majorBidi"/>
                <w:b/>
                <w:bCs/>
                <w:sz w:val="22"/>
                <w:szCs w:val="22"/>
              </w:rPr>
              <w:t xml:space="preserve">Présenter les principaux outils de </w:t>
            </w:r>
            <w:proofErr w:type="spellStart"/>
            <w:r w:rsidR="008A5AB4">
              <w:rPr>
                <w:rFonts w:asciiTheme="majorBidi" w:hAnsiTheme="majorBidi" w:cstheme="majorBidi"/>
                <w:b/>
                <w:bCs/>
                <w:sz w:val="22"/>
                <w:szCs w:val="22"/>
              </w:rPr>
              <w:t>Reporting</w:t>
            </w:r>
            <w:proofErr w:type="spellEnd"/>
            <w:r w:rsidR="008A5AB4">
              <w:rPr>
                <w:rFonts w:asciiTheme="majorBidi" w:hAnsiTheme="majorBidi" w:cstheme="majorBidi"/>
                <w:b/>
                <w:bCs/>
                <w:sz w:val="22"/>
                <w:szCs w:val="22"/>
              </w:rPr>
              <w:t xml:space="preserve"> et des tableaux de bord</w:t>
            </w:r>
          </w:p>
        </w:tc>
      </w:tr>
      <w:tr w:rsidR="009A5F29">
        <w:tc>
          <w:tcPr>
            <w:tcW w:w="9778" w:type="dxa"/>
          </w:tcPr>
          <w:p w:rsidR="00E04E94" w:rsidRPr="00DD650C" w:rsidRDefault="00C10518" w:rsidP="005F12B2">
            <w:pPr>
              <w:pStyle w:val="Default"/>
              <w:rPr>
                <w:rFonts w:cs="Times New Roman"/>
              </w:rPr>
            </w:pPr>
            <w:r w:rsidRPr="002D7A7D">
              <w:rPr>
                <w:rFonts w:asciiTheme="majorBidi" w:hAnsiTheme="majorBidi" w:cstheme="majorBidi"/>
                <w:b/>
                <w:bCs/>
              </w:rPr>
              <w:t>2-</w:t>
            </w:r>
            <w:r w:rsidR="002D7A7D" w:rsidRPr="002D7A7D">
              <w:rPr>
                <w:rFonts w:asciiTheme="majorBidi" w:hAnsiTheme="majorBidi" w:cstheme="majorBidi"/>
                <w:b/>
                <w:bCs/>
                <w:sz w:val="22"/>
                <w:szCs w:val="22"/>
              </w:rPr>
              <w:t xml:space="preserve"> </w:t>
            </w:r>
            <w:r w:rsidR="00A4249A">
              <w:rPr>
                <w:rFonts w:asciiTheme="majorBidi" w:hAnsiTheme="majorBidi" w:cstheme="majorBidi"/>
                <w:b/>
                <w:bCs/>
                <w:sz w:val="22"/>
                <w:szCs w:val="22"/>
              </w:rPr>
              <w:t xml:space="preserve">Présenter les outils de base du KM </w:t>
            </w:r>
          </w:p>
        </w:tc>
      </w:tr>
    </w:tbl>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EE6D21" w:rsidRDefault="00705737" w:rsidP="00705737">
            <w:pPr>
              <w:rPr>
                <w:b/>
                <w:bCs/>
              </w:rPr>
            </w:pPr>
            <w:r w:rsidRPr="00EE6D21">
              <w:rPr>
                <w:b/>
                <w:bCs/>
              </w:rPr>
              <w:t>Les projets seront présentés en classe par les étudiants et discutés en groupes avec l’enseignant</w:t>
            </w:r>
          </w:p>
        </w:tc>
      </w:tr>
      <w:tr w:rsidR="009A5F29">
        <w:trPr>
          <w:jc w:val="center"/>
        </w:trPr>
        <w:tc>
          <w:tcPr>
            <w:tcW w:w="9740" w:type="dxa"/>
          </w:tcPr>
          <w:p w:rsidR="009A5F29" w:rsidRPr="00EE6D21" w:rsidRDefault="00705737" w:rsidP="00705737">
            <w:pPr>
              <w:rPr>
                <w:b/>
                <w:bCs/>
              </w:rPr>
            </w:pPr>
            <w:r w:rsidRPr="00EE6D21">
              <w:rPr>
                <w:b/>
                <w:bCs/>
              </w:rPr>
              <w:t>Des échanges par e-mail et dans des forums pédagogiques sont prévus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EE6D21" w:rsidRDefault="005F12B2" w:rsidP="009A5F29">
            <w:pPr>
              <w:rPr>
                <w:b/>
                <w:bCs/>
              </w:rPr>
            </w:pPr>
            <w:r w:rsidRPr="00EE6D21">
              <w:rPr>
                <w:b/>
                <w:bCs/>
              </w:rPr>
              <w:t>Supports pédagogiques (document</w:t>
            </w:r>
            <w:r w:rsidR="00EE6D21">
              <w:rPr>
                <w:b/>
                <w:bCs/>
              </w:rPr>
              <w:t>s</w:t>
            </w:r>
            <w:r w:rsidRPr="00EE6D21">
              <w:rPr>
                <w:b/>
                <w:bCs/>
              </w:rPr>
              <w:t>, liens utiles, illustrations dynamiques,…)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E3165A" w:rsidRDefault="00E3165A" w:rsidP="009A5F29">
      <w:pPr>
        <w:pStyle w:val="5"/>
      </w:pPr>
    </w:p>
    <w:p w:rsidR="009A5F29" w:rsidRDefault="009A5F29" w:rsidP="009A5F29">
      <w:pPr>
        <w:pStyle w:val="5"/>
      </w:pPr>
      <w:r>
        <w:t>6- Examens et évaluation des connaissances</w:t>
      </w:r>
    </w:p>
    <w:p w:rsidR="009A5F29" w:rsidRDefault="009A5F29" w:rsidP="009A5F29">
      <w:pPr>
        <w:pStyle w:val="6"/>
        <w:rPr>
          <w:lang w:bidi="ar-SA"/>
        </w:rPr>
      </w:pPr>
      <w:r>
        <w:rPr>
          <w:lang w:bidi="ar-SA"/>
        </w:rPr>
        <w:lastRenderedPageBreak/>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5F12B2">
        <w:trPr>
          <w:jc w:val="center"/>
        </w:trPr>
        <w:tc>
          <w:tcPr>
            <w:tcW w:w="9778" w:type="dxa"/>
          </w:tcPr>
          <w:p w:rsidR="009A5F29" w:rsidRPr="00705737" w:rsidRDefault="00705737" w:rsidP="009A5F29">
            <w:r w:rsidRPr="00705737">
              <w:t>Régime mixte</w:t>
            </w:r>
          </w:p>
        </w:tc>
      </w:tr>
      <w:tr w:rsidR="009A5F29" w:rsidTr="005F12B2">
        <w:trPr>
          <w:jc w:val="center"/>
        </w:trPr>
        <w:tc>
          <w:tcPr>
            <w:tcW w:w="9778" w:type="dxa"/>
          </w:tcPr>
          <w:p w:rsidR="009A5F29" w:rsidRDefault="009A5F29" w:rsidP="009A5F29"/>
        </w:tc>
      </w:tr>
    </w:tbl>
    <w:p w:rsidR="009224D1" w:rsidRDefault="009224D1" w:rsidP="009A5F29">
      <w:pPr>
        <w:pStyle w:val="6"/>
      </w:pPr>
    </w:p>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67"/>
        <w:gridCol w:w="851"/>
        <w:gridCol w:w="708"/>
        <w:gridCol w:w="851"/>
        <w:gridCol w:w="709"/>
        <w:gridCol w:w="708"/>
        <w:gridCol w:w="753"/>
        <w:gridCol w:w="1232"/>
        <w:gridCol w:w="709"/>
        <w:gridCol w:w="777"/>
      </w:tblGrid>
      <w:tr w:rsidR="009A5F29" w:rsidTr="001A0D61">
        <w:trPr>
          <w:cantSplit/>
        </w:trPr>
        <w:tc>
          <w:tcPr>
            <w:tcW w:w="1913"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2977"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709"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777"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1A0D61">
        <w:trPr>
          <w:cantSplit/>
        </w:trPr>
        <w:tc>
          <w:tcPr>
            <w:tcW w:w="1913" w:type="dxa"/>
            <w:vMerge/>
            <w:vAlign w:val="center"/>
          </w:tcPr>
          <w:p w:rsidR="009A5F29" w:rsidRDefault="009A5F29" w:rsidP="009A5F29">
            <w:pPr>
              <w:pStyle w:val="6"/>
              <w:spacing w:before="0"/>
              <w:jc w:val="center"/>
              <w:rPr>
                <w:color w:val="FF0000"/>
                <w:sz w:val="20"/>
                <w:szCs w:val="20"/>
              </w:rPr>
            </w:pPr>
          </w:p>
        </w:tc>
        <w:tc>
          <w:tcPr>
            <w:tcW w:w="2126"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851"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170"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1232"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709" w:type="dxa"/>
            <w:vMerge/>
            <w:vAlign w:val="center"/>
          </w:tcPr>
          <w:p w:rsidR="009A5F29" w:rsidRDefault="009A5F29" w:rsidP="009A5F29">
            <w:pPr>
              <w:pStyle w:val="6"/>
              <w:spacing w:before="0"/>
              <w:jc w:val="center"/>
              <w:rPr>
                <w:color w:val="FF0000"/>
                <w:sz w:val="20"/>
                <w:szCs w:val="20"/>
              </w:rPr>
            </w:pPr>
          </w:p>
        </w:tc>
        <w:tc>
          <w:tcPr>
            <w:tcW w:w="777" w:type="dxa"/>
            <w:vMerge/>
            <w:vAlign w:val="center"/>
          </w:tcPr>
          <w:p w:rsidR="009A5F29" w:rsidRDefault="009A5F29" w:rsidP="009A5F29">
            <w:pPr>
              <w:pStyle w:val="6"/>
              <w:spacing w:before="0"/>
              <w:jc w:val="center"/>
              <w:rPr>
                <w:color w:val="FF0000"/>
                <w:sz w:val="20"/>
                <w:szCs w:val="20"/>
              </w:rPr>
            </w:pPr>
          </w:p>
        </w:tc>
      </w:tr>
      <w:tr w:rsidR="009A5F29" w:rsidTr="001A0D61">
        <w:trPr>
          <w:cantSplit/>
        </w:trPr>
        <w:tc>
          <w:tcPr>
            <w:tcW w:w="1913" w:type="dxa"/>
            <w:vMerge/>
            <w:vAlign w:val="center"/>
          </w:tcPr>
          <w:p w:rsidR="009A5F29" w:rsidRDefault="009A5F29" w:rsidP="009A5F29">
            <w:pPr>
              <w:pStyle w:val="6"/>
              <w:spacing w:before="0"/>
              <w:jc w:val="center"/>
              <w:rPr>
                <w:color w:val="FF0000"/>
                <w:sz w:val="20"/>
                <w:szCs w:val="20"/>
              </w:rPr>
            </w:pPr>
          </w:p>
        </w:tc>
        <w:tc>
          <w:tcPr>
            <w:tcW w:w="56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1"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0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851"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708"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53"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1232" w:type="dxa"/>
            <w:vMerge/>
            <w:vAlign w:val="center"/>
          </w:tcPr>
          <w:p w:rsidR="009A5F29" w:rsidRDefault="009A5F29" w:rsidP="009A5F29">
            <w:pPr>
              <w:pStyle w:val="6"/>
              <w:spacing w:before="0"/>
              <w:jc w:val="center"/>
              <w:rPr>
                <w:color w:val="FF0000"/>
                <w:sz w:val="20"/>
                <w:szCs w:val="20"/>
              </w:rPr>
            </w:pPr>
          </w:p>
        </w:tc>
        <w:tc>
          <w:tcPr>
            <w:tcW w:w="709" w:type="dxa"/>
            <w:vMerge/>
            <w:vAlign w:val="center"/>
          </w:tcPr>
          <w:p w:rsidR="009A5F29" w:rsidRDefault="009A5F29" w:rsidP="009A5F29">
            <w:pPr>
              <w:pStyle w:val="6"/>
              <w:spacing w:before="0"/>
              <w:jc w:val="center"/>
              <w:rPr>
                <w:color w:val="FF0000"/>
                <w:sz w:val="20"/>
                <w:szCs w:val="20"/>
              </w:rPr>
            </w:pPr>
          </w:p>
        </w:tc>
        <w:tc>
          <w:tcPr>
            <w:tcW w:w="777" w:type="dxa"/>
            <w:vMerge/>
            <w:vAlign w:val="center"/>
          </w:tcPr>
          <w:p w:rsidR="009A5F29" w:rsidRDefault="009A5F29" w:rsidP="009A5F29">
            <w:pPr>
              <w:pStyle w:val="6"/>
              <w:spacing w:before="0"/>
              <w:jc w:val="center"/>
              <w:rPr>
                <w:color w:val="FF0000"/>
                <w:sz w:val="20"/>
                <w:szCs w:val="20"/>
              </w:rPr>
            </w:pPr>
          </w:p>
        </w:tc>
      </w:tr>
      <w:tr w:rsidR="005F12B2" w:rsidTr="001A0D61">
        <w:trPr>
          <w:cantSplit/>
        </w:trPr>
        <w:tc>
          <w:tcPr>
            <w:tcW w:w="1913" w:type="dxa"/>
            <w:vAlign w:val="center"/>
          </w:tcPr>
          <w:p w:rsidR="005F12B2" w:rsidRPr="005F12B2" w:rsidRDefault="005F12B2" w:rsidP="00BA60EA">
            <w:pPr>
              <w:pStyle w:val="6"/>
              <w:spacing w:before="0"/>
              <w:rPr>
                <w:color w:val="auto"/>
                <w:sz w:val="20"/>
                <w:szCs w:val="20"/>
              </w:rPr>
            </w:pPr>
            <w:r w:rsidRPr="00BA60EA">
              <w:rPr>
                <w:rFonts w:asciiTheme="majorBidi" w:hAnsiTheme="majorBidi" w:cstheme="majorBidi"/>
                <w:color w:val="auto"/>
              </w:rPr>
              <w:t>1</w:t>
            </w:r>
            <w:r w:rsidR="00BA60EA" w:rsidRPr="00BA60EA">
              <w:rPr>
                <w:rFonts w:asciiTheme="majorBidi" w:hAnsiTheme="majorBidi" w:cstheme="majorBidi"/>
                <w:b w:val="0"/>
                <w:bCs w:val="0"/>
                <w:color w:val="auto"/>
              </w:rPr>
              <w:t xml:space="preserve"> -</w:t>
            </w:r>
            <w:r w:rsidR="00BA60EA" w:rsidRPr="00BA60EA">
              <w:rPr>
                <w:rFonts w:asciiTheme="majorBidi" w:hAnsiTheme="majorBidi" w:cstheme="majorBidi"/>
                <w:color w:val="auto"/>
              </w:rPr>
              <w:t xml:space="preserve">Tableau de </w:t>
            </w:r>
            <w:proofErr w:type="spellStart"/>
            <w:r w:rsidR="00BA60EA" w:rsidRPr="00BA60EA">
              <w:rPr>
                <w:rFonts w:asciiTheme="majorBidi" w:hAnsiTheme="majorBidi" w:cstheme="majorBidi"/>
                <w:color w:val="auto"/>
              </w:rPr>
              <w:t>bordet</w:t>
            </w:r>
            <w:proofErr w:type="spellEnd"/>
            <w:r w:rsidR="00BA60EA" w:rsidRPr="00BA60EA">
              <w:rPr>
                <w:rFonts w:asciiTheme="majorBidi" w:hAnsiTheme="majorBidi" w:cstheme="majorBidi"/>
                <w:color w:val="auto"/>
              </w:rPr>
              <w:t xml:space="preserve"> </w:t>
            </w:r>
            <w:proofErr w:type="spellStart"/>
            <w:r w:rsidR="00BA60EA" w:rsidRPr="00BA60EA">
              <w:rPr>
                <w:rFonts w:asciiTheme="majorBidi" w:hAnsiTheme="majorBidi" w:cstheme="majorBidi"/>
                <w:color w:val="auto"/>
              </w:rPr>
              <w:t>reporting</w:t>
            </w:r>
            <w:proofErr w:type="spellEnd"/>
          </w:p>
        </w:tc>
        <w:tc>
          <w:tcPr>
            <w:tcW w:w="567" w:type="dxa"/>
            <w:vAlign w:val="center"/>
          </w:tcPr>
          <w:p w:rsidR="005F12B2" w:rsidRPr="00AE778C" w:rsidRDefault="005F12B2" w:rsidP="009A5F29">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Etudes de cas</w:t>
            </w:r>
          </w:p>
        </w:tc>
        <w:tc>
          <w:tcPr>
            <w:tcW w:w="708" w:type="dxa"/>
            <w:vAlign w:val="center"/>
          </w:tcPr>
          <w:p w:rsidR="005F12B2" w:rsidRPr="00AE778C" w:rsidRDefault="008A5AB4" w:rsidP="009A5F29">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30%</w:t>
            </w:r>
          </w:p>
        </w:tc>
        <w:tc>
          <w:tcPr>
            <w:tcW w:w="709"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X</w:t>
            </w:r>
          </w:p>
        </w:tc>
        <w:tc>
          <w:tcPr>
            <w:tcW w:w="708" w:type="dxa"/>
            <w:vAlign w:val="center"/>
          </w:tcPr>
          <w:p w:rsidR="005F12B2" w:rsidRPr="00AE778C" w:rsidRDefault="005F12B2" w:rsidP="009A5F29">
            <w:pPr>
              <w:pStyle w:val="6"/>
              <w:spacing w:before="0"/>
              <w:jc w:val="center"/>
              <w:rPr>
                <w:color w:val="auto"/>
                <w:sz w:val="20"/>
                <w:szCs w:val="20"/>
              </w:rPr>
            </w:pPr>
          </w:p>
        </w:tc>
        <w:tc>
          <w:tcPr>
            <w:tcW w:w="753" w:type="dxa"/>
            <w:vAlign w:val="center"/>
          </w:tcPr>
          <w:p w:rsidR="005F12B2" w:rsidRPr="00AE778C" w:rsidRDefault="005F12B2" w:rsidP="009A5F29">
            <w:pPr>
              <w:pStyle w:val="6"/>
              <w:spacing w:before="0"/>
              <w:jc w:val="center"/>
              <w:rPr>
                <w:color w:val="auto"/>
                <w:sz w:val="20"/>
                <w:szCs w:val="20"/>
              </w:rPr>
            </w:pPr>
          </w:p>
        </w:tc>
        <w:tc>
          <w:tcPr>
            <w:tcW w:w="1232"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70%</w:t>
            </w:r>
          </w:p>
        </w:tc>
        <w:tc>
          <w:tcPr>
            <w:tcW w:w="709" w:type="dxa"/>
            <w:vAlign w:val="center"/>
          </w:tcPr>
          <w:p w:rsidR="005F12B2" w:rsidRPr="00AE778C" w:rsidRDefault="005F12B2" w:rsidP="002D1BCD">
            <w:pPr>
              <w:pStyle w:val="6"/>
              <w:spacing w:before="0"/>
              <w:jc w:val="center"/>
              <w:rPr>
                <w:color w:val="auto"/>
                <w:sz w:val="20"/>
                <w:szCs w:val="20"/>
              </w:rPr>
            </w:pPr>
            <w:r w:rsidRPr="00AE778C">
              <w:rPr>
                <w:color w:val="auto"/>
                <w:sz w:val="20"/>
                <w:szCs w:val="20"/>
              </w:rPr>
              <w:t>2</w:t>
            </w:r>
          </w:p>
        </w:tc>
        <w:tc>
          <w:tcPr>
            <w:tcW w:w="777" w:type="dxa"/>
            <w:vMerge w:val="restart"/>
            <w:vAlign w:val="center"/>
          </w:tcPr>
          <w:p w:rsidR="005F12B2" w:rsidRPr="00AE778C" w:rsidRDefault="005F12B2" w:rsidP="009A5F29">
            <w:pPr>
              <w:pStyle w:val="6"/>
              <w:spacing w:before="0"/>
              <w:jc w:val="center"/>
              <w:rPr>
                <w:color w:val="auto"/>
                <w:sz w:val="20"/>
                <w:szCs w:val="20"/>
              </w:rPr>
            </w:pPr>
            <w:r w:rsidRPr="00AE778C">
              <w:rPr>
                <w:color w:val="auto"/>
                <w:sz w:val="20"/>
                <w:szCs w:val="20"/>
              </w:rPr>
              <w:t>4</w:t>
            </w:r>
          </w:p>
        </w:tc>
      </w:tr>
      <w:tr w:rsidR="005F12B2" w:rsidTr="001A0D61">
        <w:trPr>
          <w:cantSplit/>
        </w:trPr>
        <w:tc>
          <w:tcPr>
            <w:tcW w:w="1913" w:type="dxa"/>
            <w:vAlign w:val="center"/>
          </w:tcPr>
          <w:p w:rsidR="005F12B2" w:rsidRPr="005F12B2" w:rsidRDefault="005F12B2" w:rsidP="009224D1">
            <w:pPr>
              <w:pStyle w:val="6"/>
              <w:spacing w:before="0"/>
              <w:rPr>
                <w:color w:val="auto"/>
                <w:sz w:val="20"/>
                <w:szCs w:val="20"/>
              </w:rPr>
            </w:pPr>
            <w:r w:rsidRPr="005F12B2">
              <w:rPr>
                <w:color w:val="auto"/>
              </w:rPr>
              <w:t xml:space="preserve">2-  </w:t>
            </w:r>
            <w:r w:rsidR="00BA60EA">
              <w:t xml:space="preserve"> </w:t>
            </w:r>
            <w:r w:rsidR="00BA60EA" w:rsidRPr="00BA60EA">
              <w:rPr>
                <w:color w:val="auto"/>
              </w:rPr>
              <w:t>Outils</w:t>
            </w:r>
            <w:r w:rsidR="00BA60EA" w:rsidRPr="00BA60EA">
              <w:rPr>
                <w:b w:val="0"/>
                <w:bCs w:val="0"/>
                <w:color w:val="auto"/>
              </w:rPr>
              <w:t xml:space="preserve"> du</w:t>
            </w:r>
            <w:r w:rsidR="00BA60EA">
              <w:rPr>
                <w:color w:val="auto"/>
              </w:rPr>
              <w:t xml:space="preserve"> KM </w:t>
            </w:r>
            <w:r w:rsidR="00BA60EA" w:rsidRPr="00BA60EA">
              <w:rPr>
                <w:color w:val="auto"/>
              </w:rPr>
              <w:t>(Gestion de connaissances)</w:t>
            </w:r>
          </w:p>
        </w:tc>
        <w:tc>
          <w:tcPr>
            <w:tcW w:w="567" w:type="dxa"/>
            <w:vAlign w:val="center"/>
          </w:tcPr>
          <w:p w:rsidR="005F12B2" w:rsidRPr="00AE778C" w:rsidRDefault="005F12B2" w:rsidP="009A5F29">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8A5AB4" w:rsidP="009A5F29">
            <w:pPr>
              <w:pStyle w:val="6"/>
              <w:spacing w:before="0"/>
              <w:jc w:val="center"/>
              <w:rPr>
                <w:color w:val="auto"/>
                <w:sz w:val="20"/>
                <w:szCs w:val="20"/>
              </w:rPr>
            </w:pPr>
            <w:r>
              <w:rPr>
                <w:color w:val="auto"/>
                <w:sz w:val="20"/>
                <w:szCs w:val="20"/>
              </w:rPr>
              <w:t>Etudes de cas</w:t>
            </w:r>
          </w:p>
        </w:tc>
        <w:tc>
          <w:tcPr>
            <w:tcW w:w="708" w:type="dxa"/>
            <w:vAlign w:val="center"/>
          </w:tcPr>
          <w:p w:rsidR="005F12B2" w:rsidRPr="00AE778C" w:rsidRDefault="005F12B2" w:rsidP="009A5F29">
            <w:pPr>
              <w:pStyle w:val="6"/>
              <w:spacing w:before="0"/>
              <w:jc w:val="center"/>
              <w:rPr>
                <w:color w:val="auto"/>
                <w:sz w:val="20"/>
                <w:szCs w:val="20"/>
              </w:rPr>
            </w:pPr>
            <w:r>
              <w:rPr>
                <w:color w:val="auto"/>
                <w:sz w:val="20"/>
                <w:szCs w:val="20"/>
              </w:rPr>
              <w:t>X</w:t>
            </w:r>
          </w:p>
        </w:tc>
        <w:tc>
          <w:tcPr>
            <w:tcW w:w="851"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30%</w:t>
            </w:r>
          </w:p>
        </w:tc>
        <w:tc>
          <w:tcPr>
            <w:tcW w:w="709"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X</w:t>
            </w:r>
          </w:p>
        </w:tc>
        <w:tc>
          <w:tcPr>
            <w:tcW w:w="708" w:type="dxa"/>
            <w:vAlign w:val="center"/>
          </w:tcPr>
          <w:p w:rsidR="005F12B2" w:rsidRPr="00AE778C" w:rsidRDefault="005F12B2" w:rsidP="009A5F29">
            <w:pPr>
              <w:pStyle w:val="6"/>
              <w:spacing w:before="0"/>
              <w:jc w:val="center"/>
              <w:rPr>
                <w:color w:val="auto"/>
                <w:sz w:val="20"/>
                <w:szCs w:val="20"/>
              </w:rPr>
            </w:pPr>
          </w:p>
        </w:tc>
        <w:tc>
          <w:tcPr>
            <w:tcW w:w="753" w:type="dxa"/>
            <w:vAlign w:val="center"/>
          </w:tcPr>
          <w:p w:rsidR="005F12B2" w:rsidRPr="00AE778C" w:rsidRDefault="005F12B2" w:rsidP="009A5F29">
            <w:pPr>
              <w:pStyle w:val="6"/>
              <w:spacing w:before="0"/>
              <w:jc w:val="center"/>
              <w:rPr>
                <w:color w:val="auto"/>
                <w:sz w:val="20"/>
                <w:szCs w:val="20"/>
              </w:rPr>
            </w:pPr>
          </w:p>
        </w:tc>
        <w:tc>
          <w:tcPr>
            <w:tcW w:w="1232" w:type="dxa"/>
            <w:vAlign w:val="center"/>
          </w:tcPr>
          <w:p w:rsidR="005F12B2" w:rsidRPr="00AE778C" w:rsidRDefault="005F12B2" w:rsidP="009A5F29">
            <w:pPr>
              <w:pStyle w:val="6"/>
              <w:spacing w:before="0"/>
              <w:jc w:val="center"/>
              <w:rPr>
                <w:color w:val="auto"/>
                <w:sz w:val="20"/>
                <w:szCs w:val="20"/>
              </w:rPr>
            </w:pPr>
            <w:r w:rsidRPr="00AE778C">
              <w:rPr>
                <w:color w:val="auto"/>
                <w:sz w:val="20"/>
                <w:szCs w:val="20"/>
              </w:rPr>
              <w:t>70%</w:t>
            </w:r>
          </w:p>
        </w:tc>
        <w:tc>
          <w:tcPr>
            <w:tcW w:w="709" w:type="dxa"/>
            <w:vAlign w:val="center"/>
          </w:tcPr>
          <w:p w:rsidR="005F12B2" w:rsidRPr="00AE778C" w:rsidRDefault="001A0D61" w:rsidP="009A5F29">
            <w:pPr>
              <w:pStyle w:val="6"/>
              <w:spacing w:before="0"/>
              <w:jc w:val="center"/>
              <w:rPr>
                <w:color w:val="auto"/>
                <w:sz w:val="20"/>
                <w:szCs w:val="20"/>
              </w:rPr>
            </w:pPr>
            <w:r>
              <w:rPr>
                <w:color w:val="auto"/>
                <w:sz w:val="20"/>
                <w:szCs w:val="20"/>
              </w:rPr>
              <w:t>2</w:t>
            </w:r>
          </w:p>
        </w:tc>
        <w:tc>
          <w:tcPr>
            <w:tcW w:w="777" w:type="dxa"/>
            <w:vMerge/>
            <w:vAlign w:val="center"/>
          </w:tcPr>
          <w:p w:rsidR="005F12B2" w:rsidRDefault="005F12B2"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Pr="00A276F6" w:rsidRDefault="009A5F29" w:rsidP="00FE56EE">
      <w:pPr>
        <w:pStyle w:val="Titre1"/>
        <w:jc w:val="center"/>
        <w:rPr>
          <w:b w:val="0"/>
          <w:bCs w:val="0"/>
          <w:sz w:val="28"/>
        </w:rPr>
      </w:pPr>
      <w:r>
        <w:br w:type="page"/>
      </w:r>
      <w:r w:rsidR="001A0D61">
        <w:lastRenderedPageBreak/>
        <w:t xml:space="preserve"> </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trPr>
          <w:cantSplit/>
          <w:jc w:val="center"/>
        </w:trPr>
        <w:tc>
          <w:tcPr>
            <w:tcW w:w="2826" w:type="dxa"/>
            <w:tcBorders>
              <w:top w:val="single" w:sz="4" w:space="0" w:color="auto"/>
              <w:left w:val="single" w:sz="4" w:space="0" w:color="auto"/>
              <w:bottom w:val="single" w:sz="4" w:space="0" w:color="auto"/>
              <w:right w:val="single" w:sz="4" w:space="0" w:color="auto"/>
            </w:tcBorders>
          </w:tcPr>
          <w:p w:rsidR="009A5F29" w:rsidRDefault="001A0D61" w:rsidP="009A5F29">
            <w:pPr>
              <w:pStyle w:val="2"/>
              <w:bidi w:val="0"/>
              <w:rPr>
                <w:rFonts w:cs="Times New Roman"/>
                <w:color w:val="800000"/>
                <w:sz w:val="22"/>
                <w:szCs w:val="22"/>
              </w:rPr>
            </w:pPr>
            <w:bookmarkStart w:id="10" w:name="_Toc190138139"/>
            <w:r>
              <w:rPr>
                <w:rFonts w:cs="Times New Roman"/>
                <w:color w:val="800000"/>
                <w:sz w:val="22"/>
                <w:szCs w:val="22"/>
                <w:lang w:bidi="ar-MA"/>
              </w:rPr>
              <w:t xml:space="preserve">Code UE : </w:t>
            </w:r>
            <w:r w:rsidR="009A5F29">
              <w:rPr>
                <w:rFonts w:cs="Times New Roman"/>
                <w:color w:val="800000"/>
                <w:sz w:val="22"/>
                <w:szCs w:val="22"/>
                <w:lang w:bidi="ar-MA"/>
              </w:rPr>
              <w:t>……</w:t>
            </w:r>
            <w:r>
              <w:rPr>
                <w:rFonts w:cs="Times New Roman"/>
                <w:color w:val="800000"/>
                <w:sz w:val="22"/>
                <w:szCs w:val="22"/>
                <w:lang w:bidi="ar-MA"/>
              </w:rPr>
              <w:t>UE23</w:t>
            </w:r>
            <w:r w:rsidR="009A5F29">
              <w:rPr>
                <w:rFonts w:cs="Times New Roman"/>
                <w:color w:val="800000"/>
                <w:sz w:val="22"/>
                <w:szCs w:val="22"/>
                <w:lang w:bidi="ar-MA"/>
              </w:rPr>
              <w:t>…...</w:t>
            </w:r>
            <w:bookmarkEnd w:id="10"/>
          </w:p>
        </w:tc>
      </w:tr>
    </w:tbl>
    <w:p w:rsidR="009A5F29" w:rsidRDefault="009A5F29" w:rsidP="009A5F29">
      <w:pPr>
        <w:jc w:val="center"/>
        <w:rPr>
          <w:b/>
          <w:bCs/>
          <w:color w:val="0000FF"/>
          <w:sz w:val="32"/>
          <w:szCs w:val="32"/>
        </w:rPr>
      </w:pPr>
    </w:p>
    <w:p w:rsidR="001A0D61" w:rsidRPr="000139DB" w:rsidRDefault="009A5F29" w:rsidP="001A0D61">
      <w:pPr>
        <w:jc w:val="center"/>
        <w:rPr>
          <w:b/>
          <w:bCs/>
          <w:sz w:val="32"/>
          <w:szCs w:val="32"/>
        </w:rPr>
      </w:pPr>
      <w:r>
        <w:rPr>
          <w:b/>
          <w:bCs/>
          <w:color w:val="0000FF"/>
          <w:sz w:val="32"/>
          <w:szCs w:val="32"/>
        </w:rPr>
        <w:t>ECUE n° 1</w:t>
      </w:r>
      <w:r w:rsidR="002C2BE0">
        <w:rPr>
          <w:b/>
          <w:bCs/>
          <w:color w:val="0000FF"/>
          <w:sz w:val="32"/>
          <w:szCs w:val="32"/>
        </w:rPr>
        <w:t xml:space="preserve"> : </w:t>
      </w:r>
      <w:r w:rsidR="00FE56EE">
        <w:rPr>
          <w:b/>
          <w:bCs/>
          <w:sz w:val="28"/>
          <w:szCs w:val="28"/>
        </w:rPr>
        <w:t xml:space="preserve">Tableau de bord et </w:t>
      </w:r>
      <w:proofErr w:type="spellStart"/>
      <w:r w:rsidR="00FE56EE">
        <w:rPr>
          <w:b/>
          <w:bCs/>
          <w:sz w:val="28"/>
          <w:szCs w:val="28"/>
        </w:rPr>
        <w:t>R</w:t>
      </w:r>
      <w:r w:rsidR="001A0D61" w:rsidRPr="008157E6">
        <w:rPr>
          <w:b/>
          <w:bCs/>
          <w:sz w:val="28"/>
          <w:szCs w:val="28"/>
        </w:rPr>
        <w:t>eporting</w:t>
      </w:r>
      <w:proofErr w:type="spellEnd"/>
    </w:p>
    <w:bookmarkEnd w:id="4"/>
    <w:bookmarkEnd w:id="5"/>
    <w:p w:rsidR="00FE56EE" w:rsidRDefault="00FE56EE" w:rsidP="001A0D61">
      <w:pPr>
        <w:rPr>
          <w:b/>
          <w:bCs/>
          <w:sz w:val="36"/>
          <w:szCs w:val="36"/>
          <w:u w:val="single"/>
        </w:rPr>
      </w:pPr>
    </w:p>
    <w:p w:rsidR="00FE56EE" w:rsidRDefault="00FE56EE" w:rsidP="001A0D61">
      <w:pPr>
        <w:rPr>
          <w:b/>
          <w:bCs/>
          <w:sz w:val="36"/>
          <w:szCs w:val="36"/>
          <w:u w:val="single"/>
        </w:rPr>
      </w:pPr>
    </w:p>
    <w:p w:rsidR="001A0D61" w:rsidRPr="00C16867" w:rsidRDefault="001A0D61" w:rsidP="001A0D61">
      <w:pPr>
        <w:rPr>
          <w:b/>
          <w:bCs/>
          <w:sz w:val="36"/>
          <w:szCs w:val="36"/>
          <w:u w:val="single"/>
        </w:rPr>
      </w:pPr>
      <w:r w:rsidRPr="00C16867">
        <w:rPr>
          <w:b/>
          <w:bCs/>
          <w:sz w:val="36"/>
          <w:szCs w:val="36"/>
          <w:u w:val="single"/>
        </w:rPr>
        <w:t xml:space="preserve">Objectifs : </w:t>
      </w:r>
    </w:p>
    <w:p w:rsidR="001A0D61" w:rsidRPr="00C16867" w:rsidRDefault="001A0D61" w:rsidP="001A0D61">
      <w:pPr>
        <w:jc w:val="both"/>
        <w:rPr>
          <w:rFonts w:asciiTheme="majorBidi" w:hAnsiTheme="majorBidi" w:cstheme="majorBidi"/>
          <w:sz w:val="20"/>
          <w:szCs w:val="20"/>
        </w:rPr>
      </w:pPr>
      <w:r w:rsidRPr="00C16867">
        <w:rPr>
          <w:rFonts w:asciiTheme="majorBidi" w:hAnsiTheme="majorBidi" w:cstheme="majorBidi"/>
          <w:sz w:val="20"/>
          <w:szCs w:val="20"/>
        </w:rPr>
        <w:t xml:space="preserve">Le manager est le relais entre la stratégie de l’entreprise et ses équipes. Le tableau de bord permet de mettre sous contrôle les activités et de déployer les objectifs opérationnels auprès de ses </w:t>
      </w:r>
      <w:proofErr w:type="gramStart"/>
      <w:r w:rsidRPr="00C16867">
        <w:rPr>
          <w:rFonts w:asciiTheme="majorBidi" w:hAnsiTheme="majorBidi" w:cstheme="majorBidi"/>
          <w:sz w:val="20"/>
          <w:szCs w:val="20"/>
        </w:rPr>
        <w:t>équipes .</w:t>
      </w:r>
      <w:proofErr w:type="gramEnd"/>
      <w:r w:rsidRPr="00C16867">
        <w:rPr>
          <w:rFonts w:asciiTheme="majorBidi" w:hAnsiTheme="majorBidi" w:cstheme="majorBidi"/>
          <w:sz w:val="20"/>
          <w:szCs w:val="20"/>
        </w:rPr>
        <w:t xml:space="preserve"> Au cœur de l'activité managériale et opérationnelle, le tableau de bord est à la fois un instrument de pilotage de son activité et un outil de communication. Il requiert en conséquence des compétences multiples. L'objectif de cette formation au tableau de bord (spécifiquement destinée au manager) est de vous permettre de le concevoir et de l'utiliser à la fois comme un outil de performance opérationnelle, stratégique et managériale.</w:t>
      </w:r>
    </w:p>
    <w:p w:rsidR="001A0D61" w:rsidRDefault="001A0D61" w:rsidP="001A0D61">
      <w:pPr>
        <w:jc w:val="both"/>
        <w:rPr>
          <w:rFonts w:ascii="Helvetica" w:hAnsi="Helvetica"/>
          <w:color w:val="000000"/>
          <w:sz w:val="18"/>
          <w:szCs w:val="18"/>
          <w:shd w:val="clear" w:color="auto" w:fill="E8E8E8"/>
        </w:rPr>
      </w:pPr>
    </w:p>
    <w:p w:rsidR="001A0D61" w:rsidRPr="00C16867" w:rsidRDefault="001A0D61" w:rsidP="001A0D61">
      <w:pPr>
        <w:jc w:val="both"/>
        <w:rPr>
          <w:b/>
          <w:bCs/>
          <w:sz w:val="36"/>
          <w:szCs w:val="36"/>
          <w:u w:val="single"/>
        </w:rPr>
      </w:pPr>
      <w:r w:rsidRPr="00C16867">
        <w:rPr>
          <w:b/>
          <w:bCs/>
          <w:sz w:val="36"/>
          <w:szCs w:val="36"/>
          <w:u w:val="single"/>
        </w:rPr>
        <w:t>Plan</w:t>
      </w:r>
    </w:p>
    <w:p w:rsidR="001A0D61" w:rsidRPr="00C16867" w:rsidRDefault="001A0D61" w:rsidP="001A0D61">
      <w:pPr>
        <w:shd w:val="clear" w:color="auto" w:fill="E8E8E8"/>
        <w:spacing w:line="272" w:lineRule="atLeast"/>
        <w:ind w:left="284" w:hanging="284"/>
        <w:textAlignment w:val="baseline"/>
        <w:outlineLvl w:val="2"/>
        <w:rPr>
          <w:rFonts w:ascii="Helvetica" w:hAnsi="Helvetica"/>
          <w:b/>
          <w:bCs/>
          <w:color w:val="000000"/>
          <w:sz w:val="20"/>
          <w:szCs w:val="20"/>
        </w:rPr>
      </w:pPr>
      <w:r w:rsidRPr="00C16867">
        <w:rPr>
          <w:rFonts w:ascii="Helvetica" w:hAnsi="Helvetica"/>
          <w:b/>
          <w:bCs/>
          <w:color w:val="000000"/>
          <w:sz w:val="20"/>
        </w:rPr>
        <w:t>1 </w:t>
      </w:r>
      <w:r w:rsidRPr="00C16867">
        <w:rPr>
          <w:rFonts w:ascii="Helvetica" w:hAnsi="Helvetica"/>
          <w:b/>
          <w:bCs/>
          <w:color w:val="000000"/>
          <w:sz w:val="20"/>
          <w:szCs w:val="20"/>
        </w:rPr>
        <w:t>Utiliser le tableau de bord comme outil de management</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Situations de management s’appuyant sur le TDB : entretien d’évaluation, conduite de réunion,…</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Formaliser les missions de son activité.</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Alignement des objectifs individuels du service sur la stratégie.</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Méthode CAREM pour fixer des objectifs réalistes.</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Les 3 niveaux de tableau de bord : stratégie, gestion, exploitation.</w:t>
      </w:r>
    </w:p>
    <w:p w:rsidR="001A0D61" w:rsidRPr="00C16867" w:rsidRDefault="001A0D61" w:rsidP="001A0D61">
      <w:pPr>
        <w:numPr>
          <w:ilvl w:val="0"/>
          <w:numId w:val="18"/>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 xml:space="preserve">Tableau de bord et </w:t>
      </w:r>
      <w:proofErr w:type="spellStart"/>
      <w:r w:rsidRPr="00C16867">
        <w:rPr>
          <w:rFonts w:ascii="Helvetica" w:hAnsi="Helvetica"/>
          <w:color w:val="000000"/>
          <w:sz w:val="18"/>
          <w:szCs w:val="18"/>
        </w:rPr>
        <w:t>reporting</w:t>
      </w:r>
      <w:proofErr w:type="spellEnd"/>
      <w:r w:rsidRPr="00C16867">
        <w:rPr>
          <w:rFonts w:ascii="Helvetica" w:hAnsi="Helvetica"/>
          <w:color w:val="000000"/>
          <w:sz w:val="18"/>
          <w:szCs w:val="18"/>
        </w:rPr>
        <w:t>.</w:t>
      </w:r>
    </w:p>
    <w:p w:rsidR="001A0D61" w:rsidRPr="00C16867" w:rsidRDefault="001A0D61" w:rsidP="001A0D61">
      <w:pPr>
        <w:shd w:val="clear" w:color="auto" w:fill="E8E8E8"/>
        <w:spacing w:line="272" w:lineRule="atLeast"/>
        <w:ind w:left="284" w:hanging="284"/>
        <w:textAlignment w:val="baseline"/>
        <w:outlineLvl w:val="2"/>
        <w:rPr>
          <w:rFonts w:ascii="Helvetica" w:hAnsi="Helvetica"/>
          <w:b/>
          <w:bCs/>
          <w:color w:val="000000"/>
          <w:sz w:val="20"/>
          <w:szCs w:val="20"/>
        </w:rPr>
      </w:pPr>
      <w:r w:rsidRPr="00C16867">
        <w:rPr>
          <w:rFonts w:ascii="Helvetica" w:hAnsi="Helvetica"/>
          <w:b/>
          <w:bCs/>
          <w:color w:val="000000"/>
          <w:sz w:val="20"/>
        </w:rPr>
        <w:t>2 </w:t>
      </w:r>
      <w:r w:rsidRPr="00C16867">
        <w:rPr>
          <w:rFonts w:ascii="Helvetica" w:hAnsi="Helvetica"/>
          <w:b/>
          <w:bCs/>
          <w:color w:val="000000"/>
          <w:sz w:val="20"/>
          <w:szCs w:val="20"/>
        </w:rPr>
        <w:t>Concevoir son tableau de bord</w:t>
      </w:r>
    </w:p>
    <w:p w:rsidR="001A0D61" w:rsidRPr="00C16867" w:rsidRDefault="001A0D61" w:rsidP="001A0D61">
      <w:pPr>
        <w:numPr>
          <w:ilvl w:val="0"/>
          <w:numId w:val="19"/>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Mise sous contrôle d'une activité : prévoir, mesurer, agir.</w:t>
      </w:r>
    </w:p>
    <w:p w:rsidR="001A0D61" w:rsidRPr="00C16867" w:rsidRDefault="001A0D61" w:rsidP="001A0D61">
      <w:pPr>
        <w:numPr>
          <w:ilvl w:val="0"/>
          <w:numId w:val="19"/>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Méthode RAS : Ressource, activité, sortie.</w:t>
      </w:r>
    </w:p>
    <w:p w:rsidR="001A0D61" w:rsidRPr="00C16867" w:rsidRDefault="001A0D61" w:rsidP="001A0D61">
      <w:pPr>
        <w:numPr>
          <w:ilvl w:val="0"/>
          <w:numId w:val="19"/>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Définir les indicateurs par la méthode DEFI :</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de performance en lien avec : les missions du service ;</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de pilotage : en lien avec les leviers d’actions, d’activité et de moyens ;</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d'éclairage : en lien avec l'environnement.</w:t>
      </w:r>
    </w:p>
    <w:p w:rsidR="001A0D61" w:rsidRPr="00C16867" w:rsidRDefault="001A0D61" w:rsidP="001A0D61">
      <w:pPr>
        <w:numPr>
          <w:ilvl w:val="0"/>
          <w:numId w:val="19"/>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Principaux indicateurs par fonction : commercial, production, achats, logistique, approvisionnements, RH, administrative et comptable.</w:t>
      </w:r>
    </w:p>
    <w:p w:rsidR="001A0D61" w:rsidRPr="00C16867" w:rsidRDefault="001A0D61" w:rsidP="001A0D61">
      <w:pPr>
        <w:numPr>
          <w:ilvl w:val="0"/>
          <w:numId w:val="19"/>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Études de cas :</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 xml:space="preserve">Cas </w:t>
      </w:r>
      <w:proofErr w:type="spellStart"/>
      <w:r w:rsidRPr="00C16867">
        <w:rPr>
          <w:rFonts w:ascii="Helvetica" w:hAnsi="Helvetica"/>
          <w:color w:val="000000"/>
          <w:sz w:val="18"/>
          <w:szCs w:val="18"/>
        </w:rPr>
        <w:t>Lyptus</w:t>
      </w:r>
      <w:proofErr w:type="spellEnd"/>
      <w:r w:rsidRPr="00C16867">
        <w:rPr>
          <w:rFonts w:ascii="Helvetica" w:hAnsi="Helvetica"/>
          <w:color w:val="000000"/>
          <w:sz w:val="18"/>
          <w:szCs w:val="18"/>
        </w:rPr>
        <w:t xml:space="preserve"> : établir le tableau de bord d'une fonction opérationnelle.</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Définir un indicateur chiffré pour un objectif qualitatif.</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Cas Restauration rapide : tableau de bord d'un centre de profit.</w:t>
      </w:r>
    </w:p>
    <w:p w:rsidR="001A0D61" w:rsidRPr="00C16867" w:rsidRDefault="001A0D61" w:rsidP="001A0D61">
      <w:pPr>
        <w:numPr>
          <w:ilvl w:val="2"/>
          <w:numId w:val="19"/>
        </w:numPr>
        <w:tabs>
          <w:tab w:val="clear" w:pos="2160"/>
          <w:tab w:val="num" w:pos="1276"/>
        </w:tabs>
        <w:spacing w:line="384" w:lineRule="atLeast"/>
        <w:ind w:hanging="1309"/>
        <w:textAlignment w:val="baseline"/>
        <w:rPr>
          <w:rFonts w:ascii="Helvetica" w:hAnsi="Helvetica"/>
          <w:color w:val="000000"/>
          <w:sz w:val="18"/>
          <w:szCs w:val="18"/>
        </w:rPr>
      </w:pPr>
      <w:r w:rsidRPr="00C16867">
        <w:rPr>
          <w:rFonts w:ascii="Helvetica" w:hAnsi="Helvetica"/>
          <w:color w:val="000000"/>
          <w:sz w:val="18"/>
          <w:szCs w:val="18"/>
        </w:rPr>
        <w:t>Travail sur le tableau de bord des participants.</w:t>
      </w:r>
    </w:p>
    <w:p w:rsidR="001A0D61" w:rsidRPr="00C16867" w:rsidRDefault="001A0D61" w:rsidP="001A0D61">
      <w:pPr>
        <w:shd w:val="clear" w:color="auto" w:fill="E8E8E8"/>
        <w:spacing w:line="272" w:lineRule="atLeast"/>
        <w:ind w:left="284" w:hanging="284"/>
        <w:textAlignment w:val="baseline"/>
        <w:outlineLvl w:val="2"/>
        <w:rPr>
          <w:rFonts w:ascii="Helvetica" w:hAnsi="Helvetica"/>
          <w:b/>
          <w:bCs/>
          <w:color w:val="000000"/>
          <w:sz w:val="20"/>
          <w:szCs w:val="20"/>
        </w:rPr>
      </w:pPr>
      <w:r w:rsidRPr="00C16867">
        <w:rPr>
          <w:rFonts w:ascii="Helvetica" w:hAnsi="Helvetica"/>
          <w:b/>
          <w:bCs/>
          <w:color w:val="000000"/>
          <w:sz w:val="20"/>
        </w:rPr>
        <w:t>3 </w:t>
      </w:r>
      <w:r w:rsidRPr="00C16867">
        <w:rPr>
          <w:rFonts w:ascii="Helvetica" w:hAnsi="Helvetica"/>
          <w:b/>
          <w:bCs/>
          <w:color w:val="000000"/>
          <w:sz w:val="20"/>
          <w:szCs w:val="20"/>
        </w:rPr>
        <w:t>Mettre en forme son tableau de bord</w:t>
      </w:r>
    </w:p>
    <w:p w:rsidR="001A0D61" w:rsidRPr="00C16867" w:rsidRDefault="001A0D61" w:rsidP="001A0D61">
      <w:pPr>
        <w:numPr>
          <w:ilvl w:val="0"/>
          <w:numId w:val="20"/>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Principes de conception d'un tableau de bord.</w:t>
      </w:r>
    </w:p>
    <w:p w:rsidR="001A0D61" w:rsidRPr="00C16867" w:rsidRDefault="001A0D61" w:rsidP="001A0D61">
      <w:pPr>
        <w:numPr>
          <w:ilvl w:val="1"/>
          <w:numId w:val="20"/>
        </w:numPr>
        <w:spacing w:line="384"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Cas : Choisir le bon type de graphe.</w:t>
      </w:r>
    </w:p>
    <w:p w:rsidR="001A0D61" w:rsidRPr="00C16867" w:rsidRDefault="001A0D61" w:rsidP="001A0D61">
      <w:pPr>
        <w:shd w:val="clear" w:color="auto" w:fill="E8E8E8"/>
        <w:spacing w:line="272" w:lineRule="atLeast"/>
        <w:ind w:left="284" w:hanging="284"/>
        <w:textAlignment w:val="baseline"/>
        <w:outlineLvl w:val="2"/>
        <w:rPr>
          <w:rFonts w:ascii="Helvetica" w:hAnsi="Helvetica"/>
          <w:b/>
          <w:bCs/>
          <w:color w:val="000000"/>
          <w:sz w:val="20"/>
          <w:szCs w:val="20"/>
        </w:rPr>
      </w:pPr>
      <w:r w:rsidRPr="00C16867">
        <w:rPr>
          <w:rFonts w:ascii="Helvetica" w:hAnsi="Helvetica"/>
          <w:b/>
          <w:bCs/>
          <w:color w:val="000000"/>
          <w:sz w:val="20"/>
        </w:rPr>
        <w:t>4 </w:t>
      </w:r>
      <w:r w:rsidRPr="00C16867">
        <w:rPr>
          <w:rFonts w:ascii="Helvetica" w:hAnsi="Helvetica"/>
          <w:b/>
          <w:bCs/>
          <w:color w:val="000000"/>
          <w:sz w:val="20"/>
          <w:szCs w:val="20"/>
        </w:rPr>
        <w:t>Piloter son activité en lien avec la stratégie de l’entreprise</w:t>
      </w:r>
    </w:p>
    <w:p w:rsidR="001A0D61" w:rsidRPr="00C16867" w:rsidRDefault="001A0D61" w:rsidP="001A0D61">
      <w:pPr>
        <w:numPr>
          <w:ilvl w:val="0"/>
          <w:numId w:val="21"/>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Les facteurs clés de succès de l’entreprise.</w:t>
      </w:r>
    </w:p>
    <w:p w:rsidR="001A0D61" w:rsidRPr="00C16867" w:rsidRDefault="001A0D61" w:rsidP="001A0D61">
      <w:pPr>
        <w:numPr>
          <w:ilvl w:val="0"/>
          <w:numId w:val="21"/>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 xml:space="preserve">Les 4 perspectives du </w:t>
      </w:r>
      <w:proofErr w:type="spellStart"/>
      <w:r w:rsidRPr="00C16867">
        <w:rPr>
          <w:rFonts w:ascii="Helvetica" w:hAnsi="Helvetica"/>
          <w:color w:val="000000"/>
          <w:sz w:val="18"/>
          <w:szCs w:val="18"/>
        </w:rPr>
        <w:t>balanced</w:t>
      </w:r>
      <w:proofErr w:type="spellEnd"/>
      <w:r w:rsidRPr="00C16867">
        <w:rPr>
          <w:rFonts w:ascii="Helvetica" w:hAnsi="Helvetica"/>
          <w:color w:val="000000"/>
          <w:sz w:val="18"/>
          <w:szCs w:val="18"/>
        </w:rPr>
        <w:t xml:space="preserve"> </w:t>
      </w:r>
      <w:proofErr w:type="gramStart"/>
      <w:r w:rsidRPr="00C16867">
        <w:rPr>
          <w:rFonts w:ascii="Helvetica" w:hAnsi="Helvetica"/>
          <w:color w:val="000000"/>
          <w:sz w:val="18"/>
          <w:szCs w:val="18"/>
        </w:rPr>
        <w:t>score</w:t>
      </w:r>
      <w:proofErr w:type="gramEnd"/>
      <w:r w:rsidRPr="00C16867">
        <w:rPr>
          <w:rFonts w:ascii="Helvetica" w:hAnsi="Helvetica"/>
          <w:color w:val="000000"/>
          <w:sz w:val="18"/>
          <w:szCs w:val="18"/>
        </w:rPr>
        <w:t xml:space="preserve"> </w:t>
      </w:r>
      <w:proofErr w:type="spellStart"/>
      <w:r w:rsidRPr="00C16867">
        <w:rPr>
          <w:rFonts w:ascii="Helvetica" w:hAnsi="Helvetica"/>
          <w:color w:val="000000"/>
          <w:sz w:val="18"/>
          <w:szCs w:val="18"/>
        </w:rPr>
        <w:t>card</w:t>
      </w:r>
      <w:proofErr w:type="spellEnd"/>
      <w:r w:rsidRPr="00C16867">
        <w:rPr>
          <w:rFonts w:ascii="Helvetica" w:hAnsi="Helvetica"/>
          <w:color w:val="000000"/>
          <w:sz w:val="18"/>
          <w:szCs w:val="18"/>
        </w:rPr>
        <w:t xml:space="preserve"> : financier, client (internes ou externes), processus clés, personnel et innovation.</w:t>
      </w:r>
    </w:p>
    <w:p w:rsidR="001A0D61" w:rsidRPr="00C16867" w:rsidRDefault="001A0D61" w:rsidP="001A0D61">
      <w:pPr>
        <w:numPr>
          <w:ilvl w:val="1"/>
          <w:numId w:val="21"/>
        </w:numPr>
        <w:spacing w:line="384"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Jeu de rôle : Concevoir le tableau de bord avec son équipe.</w:t>
      </w:r>
    </w:p>
    <w:p w:rsidR="001A0D61" w:rsidRPr="00C16867" w:rsidRDefault="001A0D61" w:rsidP="001A0D61">
      <w:pPr>
        <w:shd w:val="clear" w:color="auto" w:fill="E8E8E8"/>
        <w:spacing w:line="272" w:lineRule="atLeast"/>
        <w:ind w:left="284" w:hanging="284"/>
        <w:textAlignment w:val="baseline"/>
        <w:outlineLvl w:val="2"/>
        <w:rPr>
          <w:rFonts w:ascii="Helvetica" w:hAnsi="Helvetica"/>
          <w:b/>
          <w:bCs/>
          <w:color w:val="000000"/>
          <w:sz w:val="20"/>
          <w:szCs w:val="20"/>
        </w:rPr>
      </w:pPr>
      <w:r w:rsidRPr="00C16867">
        <w:rPr>
          <w:rFonts w:ascii="Helvetica" w:hAnsi="Helvetica"/>
          <w:b/>
          <w:bCs/>
          <w:color w:val="000000"/>
          <w:sz w:val="20"/>
        </w:rPr>
        <w:t>5 </w:t>
      </w:r>
      <w:r w:rsidRPr="00C16867">
        <w:rPr>
          <w:rFonts w:ascii="Helvetica" w:hAnsi="Helvetica"/>
          <w:b/>
          <w:bCs/>
          <w:color w:val="000000"/>
          <w:sz w:val="20"/>
          <w:szCs w:val="20"/>
        </w:rPr>
        <w:t>Piloter processus et projets</w:t>
      </w:r>
    </w:p>
    <w:p w:rsidR="001A0D61" w:rsidRPr="00C16867" w:rsidRDefault="001A0D61" w:rsidP="001A0D61">
      <w:pPr>
        <w:numPr>
          <w:ilvl w:val="0"/>
          <w:numId w:val="22"/>
        </w:numPr>
        <w:spacing w:line="272"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Tableau de bord de suivi de processus, de projet.</w:t>
      </w:r>
    </w:p>
    <w:p w:rsidR="001A0D61" w:rsidRPr="00C16867" w:rsidRDefault="001A0D61" w:rsidP="001A0D61">
      <w:pPr>
        <w:numPr>
          <w:ilvl w:val="1"/>
          <w:numId w:val="22"/>
        </w:numPr>
        <w:spacing w:line="384" w:lineRule="atLeast"/>
        <w:ind w:left="284" w:hanging="284"/>
        <w:textAlignment w:val="baseline"/>
        <w:rPr>
          <w:rFonts w:ascii="Helvetica" w:hAnsi="Helvetica"/>
          <w:color w:val="000000"/>
          <w:sz w:val="18"/>
          <w:szCs w:val="18"/>
        </w:rPr>
      </w:pPr>
      <w:r w:rsidRPr="00C16867">
        <w:rPr>
          <w:rFonts w:ascii="Helvetica" w:hAnsi="Helvetica"/>
          <w:color w:val="000000"/>
          <w:sz w:val="18"/>
          <w:szCs w:val="18"/>
        </w:rPr>
        <w:t>Étude de cas : le cas XXT.</w:t>
      </w:r>
    </w:p>
    <w:p w:rsidR="00FE56EE" w:rsidRDefault="00222AB8" w:rsidP="00FE56EE">
      <w:pPr>
        <w:ind w:left="720" w:firstLine="720"/>
        <w:rPr>
          <w:b/>
          <w:bCs/>
          <w:sz w:val="28"/>
          <w:szCs w:val="28"/>
        </w:rPr>
      </w:pPr>
      <w:r>
        <w:br w:type="page"/>
      </w:r>
      <w:r w:rsidR="00FE56EE">
        <w:rPr>
          <w:b/>
          <w:bCs/>
          <w:sz w:val="28"/>
          <w:szCs w:val="28"/>
        </w:rPr>
        <w:lastRenderedPageBreak/>
        <w:t xml:space="preserve"> </w:t>
      </w:r>
    </w:p>
    <w:p w:rsidR="00FE56EE" w:rsidRPr="00A276F6" w:rsidRDefault="00FE56EE" w:rsidP="003B016C">
      <w:pPr>
        <w:ind w:left="720" w:firstLine="720"/>
        <w:rPr>
          <w:b/>
          <w:bCs/>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3B016C" w:rsidTr="005D1866">
        <w:trPr>
          <w:cantSplit/>
          <w:jc w:val="center"/>
        </w:trPr>
        <w:tc>
          <w:tcPr>
            <w:tcW w:w="2826" w:type="dxa"/>
            <w:tcBorders>
              <w:top w:val="single" w:sz="4" w:space="0" w:color="auto"/>
              <w:left w:val="single" w:sz="4" w:space="0" w:color="auto"/>
              <w:bottom w:val="single" w:sz="4" w:space="0" w:color="auto"/>
              <w:right w:val="single" w:sz="4" w:space="0" w:color="auto"/>
            </w:tcBorders>
          </w:tcPr>
          <w:p w:rsidR="003B016C" w:rsidRDefault="003B016C" w:rsidP="005D1866">
            <w:pPr>
              <w:pStyle w:val="2"/>
              <w:bidi w:val="0"/>
              <w:rPr>
                <w:rFonts w:cs="Times New Roman"/>
                <w:color w:val="800000"/>
                <w:sz w:val="22"/>
                <w:szCs w:val="22"/>
              </w:rPr>
            </w:pPr>
            <w:r>
              <w:rPr>
                <w:rFonts w:cs="Times New Roman"/>
                <w:color w:val="800000"/>
                <w:sz w:val="22"/>
                <w:szCs w:val="22"/>
                <w:lang w:bidi="ar-MA"/>
              </w:rPr>
              <w:t>Code UE : ……UE23…...</w:t>
            </w:r>
          </w:p>
        </w:tc>
      </w:tr>
    </w:tbl>
    <w:p w:rsidR="003B016C" w:rsidRDefault="003B016C" w:rsidP="003B016C">
      <w:pPr>
        <w:jc w:val="center"/>
        <w:rPr>
          <w:b/>
          <w:bCs/>
          <w:color w:val="0000FF"/>
          <w:sz w:val="32"/>
          <w:szCs w:val="32"/>
        </w:rPr>
      </w:pPr>
    </w:p>
    <w:p w:rsidR="003B016C" w:rsidRDefault="003B016C" w:rsidP="003B016C">
      <w:pPr>
        <w:jc w:val="center"/>
        <w:rPr>
          <w:b/>
          <w:bCs/>
          <w:sz w:val="28"/>
          <w:szCs w:val="28"/>
        </w:rPr>
      </w:pPr>
      <w:r>
        <w:rPr>
          <w:b/>
          <w:bCs/>
          <w:color w:val="0000FF"/>
          <w:sz w:val="32"/>
          <w:szCs w:val="32"/>
        </w:rPr>
        <w:t xml:space="preserve">ECUE n° 2 : </w:t>
      </w:r>
      <w:r w:rsidRPr="000139DB">
        <w:rPr>
          <w:b/>
          <w:bCs/>
          <w:sz w:val="28"/>
          <w:szCs w:val="28"/>
        </w:rPr>
        <w:t>Outils du KM (Gestion de connaissances)</w:t>
      </w:r>
    </w:p>
    <w:p w:rsidR="00FE56EE" w:rsidRPr="000139DB" w:rsidRDefault="00FE56EE" w:rsidP="003B016C">
      <w:pPr>
        <w:jc w:val="center"/>
        <w:rPr>
          <w:b/>
          <w:bCs/>
          <w:sz w:val="28"/>
          <w:szCs w:val="28"/>
        </w:rPr>
      </w:pPr>
    </w:p>
    <w:p w:rsidR="00FE56EE" w:rsidRDefault="00FE56EE" w:rsidP="003B016C">
      <w:pPr>
        <w:rPr>
          <w:b/>
          <w:bCs/>
          <w:u w:val="single"/>
        </w:rPr>
      </w:pPr>
    </w:p>
    <w:p w:rsidR="003B016C" w:rsidRDefault="003B016C" w:rsidP="003B016C">
      <w:pPr>
        <w:rPr>
          <w:b/>
          <w:bCs/>
        </w:rPr>
      </w:pPr>
      <w:r w:rsidRPr="00023C60">
        <w:rPr>
          <w:b/>
          <w:bCs/>
          <w:u w:val="single"/>
        </w:rPr>
        <w:t>Objectifs de l’ECUE</w:t>
      </w:r>
      <w:r>
        <w:rPr>
          <w:b/>
          <w:bCs/>
        </w:rPr>
        <w:t xml:space="preserve"> : </w:t>
      </w:r>
    </w:p>
    <w:p w:rsidR="003B016C" w:rsidRPr="00DA59B7" w:rsidRDefault="003B016C" w:rsidP="003B016C">
      <w:pPr>
        <w:pStyle w:val="NormalWeb"/>
      </w:pPr>
      <w:r>
        <w:t>Le cours vise de</w:t>
      </w:r>
      <w:r w:rsidRPr="00DA59B7">
        <w:t xml:space="preserve"> permettre à l’étudiant </w:t>
      </w:r>
      <w:r>
        <w:t>de</w:t>
      </w:r>
      <w:r w:rsidRPr="00DA59B7">
        <w:t>:</w:t>
      </w:r>
    </w:p>
    <w:p w:rsidR="003B016C" w:rsidRPr="00DA59B7" w:rsidRDefault="003B016C" w:rsidP="003B016C">
      <w:pPr>
        <w:pStyle w:val="NormalWeb"/>
        <w:numPr>
          <w:ilvl w:val="0"/>
          <w:numId w:val="23"/>
        </w:numPr>
      </w:pPr>
      <w:r>
        <w:rPr>
          <w:lang w:val="fr-CA"/>
        </w:rPr>
        <w:t>Évaluer le rôle du</w:t>
      </w:r>
      <w:r w:rsidRPr="00DA59B7">
        <w:rPr>
          <w:lang w:val="fr-CA"/>
        </w:rPr>
        <w:t xml:space="preserve"> </w:t>
      </w:r>
      <w:proofErr w:type="spellStart"/>
      <w:r w:rsidRPr="00DA59B7">
        <w:t>Knowledge</w:t>
      </w:r>
      <w:proofErr w:type="spellEnd"/>
      <w:r w:rsidRPr="00DA59B7">
        <w:t xml:space="preserve"> Management </w:t>
      </w:r>
      <w:r w:rsidRPr="00DA59B7">
        <w:rPr>
          <w:lang w:val="fr-CA"/>
        </w:rPr>
        <w:t>dans les affaires et celui des programmes qui la soutiennent</w:t>
      </w:r>
    </w:p>
    <w:p w:rsidR="003B016C" w:rsidRPr="00DA59B7" w:rsidRDefault="003B016C" w:rsidP="003B016C">
      <w:pPr>
        <w:pStyle w:val="NormalWeb"/>
        <w:numPr>
          <w:ilvl w:val="0"/>
          <w:numId w:val="23"/>
        </w:numPr>
      </w:pPr>
      <w:r w:rsidRPr="00DA59B7">
        <w:rPr>
          <w:lang w:val="fr-CA"/>
        </w:rPr>
        <w:t>Décrire les types de systèmes de gestion des connaissances d’entreprise et évaluer leur valeur</w:t>
      </w:r>
    </w:p>
    <w:p w:rsidR="003B016C" w:rsidRPr="00DA59B7" w:rsidRDefault="003B016C" w:rsidP="003B016C">
      <w:pPr>
        <w:pStyle w:val="NormalWeb"/>
        <w:numPr>
          <w:ilvl w:val="0"/>
          <w:numId w:val="23"/>
        </w:numPr>
      </w:pPr>
      <w:r w:rsidRPr="00DA59B7">
        <w:rPr>
          <w:lang w:val="fr-CA"/>
        </w:rPr>
        <w:t>Décrire les principaux types de systèmes pour le travail intellectuel et évaluer leur</w:t>
      </w:r>
      <w:r>
        <w:rPr>
          <w:lang w:val="fr-CA"/>
        </w:rPr>
        <w:t>s</w:t>
      </w:r>
      <w:r w:rsidRPr="00DA59B7">
        <w:rPr>
          <w:lang w:val="fr-CA"/>
        </w:rPr>
        <w:t xml:space="preserve"> valeur</w:t>
      </w:r>
      <w:r>
        <w:rPr>
          <w:lang w:val="fr-CA"/>
        </w:rPr>
        <w:t>s</w:t>
      </w:r>
    </w:p>
    <w:p w:rsidR="003B016C" w:rsidRPr="006B56B2" w:rsidRDefault="003B016C" w:rsidP="003B016C">
      <w:pPr>
        <w:pStyle w:val="NormalWeb"/>
        <w:numPr>
          <w:ilvl w:val="0"/>
          <w:numId w:val="23"/>
        </w:numPr>
      </w:pPr>
      <w:r w:rsidRPr="00DA59B7">
        <w:rPr>
          <w:lang w:val="fr-CA"/>
        </w:rPr>
        <w:t>Cerner les défis que comportent les systèmes de gestion des connais</w:t>
      </w:r>
      <w:r>
        <w:rPr>
          <w:lang w:val="fr-CA"/>
        </w:rPr>
        <w:t xml:space="preserve">sances et suggérer </w:t>
      </w:r>
      <w:r w:rsidRPr="00DA59B7">
        <w:rPr>
          <w:lang w:val="fr-CA"/>
        </w:rPr>
        <w:t xml:space="preserve"> des solutions</w:t>
      </w:r>
    </w:p>
    <w:p w:rsidR="006B56B2" w:rsidRPr="006B56B2" w:rsidRDefault="006B56B2" w:rsidP="003B016C">
      <w:pPr>
        <w:pStyle w:val="NormalWeb"/>
        <w:numPr>
          <w:ilvl w:val="0"/>
          <w:numId w:val="23"/>
        </w:numPr>
      </w:pPr>
      <w:r w:rsidRPr="006B56B2">
        <w:rPr>
          <w:rFonts w:asciiTheme="majorBidi" w:hAnsiTheme="majorBidi" w:cstheme="majorBidi"/>
        </w:rPr>
        <w:t xml:space="preserve">Connaitre les outils du Web 2.0 pour le </w:t>
      </w:r>
      <w:proofErr w:type="spellStart"/>
      <w:r w:rsidRPr="006B56B2">
        <w:rPr>
          <w:rFonts w:asciiTheme="majorBidi" w:hAnsiTheme="majorBidi" w:cstheme="majorBidi"/>
        </w:rPr>
        <w:t>knowledge</w:t>
      </w:r>
      <w:proofErr w:type="spellEnd"/>
    </w:p>
    <w:p w:rsidR="008157E6" w:rsidRPr="008157E6" w:rsidRDefault="008157E6" w:rsidP="008157E6">
      <w:pPr>
        <w:pStyle w:val="NormalWeb"/>
        <w:shd w:val="clear" w:color="auto" w:fill="FFFFFF"/>
        <w:spacing w:before="0" w:beforeAutospacing="0" w:after="0" w:afterAutospacing="0" w:line="195" w:lineRule="atLeast"/>
        <w:jc w:val="both"/>
        <w:rPr>
          <w:rFonts w:asciiTheme="majorBidi" w:hAnsiTheme="majorBidi" w:cstheme="majorBidi"/>
        </w:rPr>
      </w:pPr>
      <w:r w:rsidRPr="008157E6">
        <w:rPr>
          <w:rFonts w:asciiTheme="majorBidi" w:hAnsiTheme="majorBidi" w:cstheme="majorBidi"/>
        </w:rPr>
        <w:t xml:space="preserve">Le </w:t>
      </w:r>
      <w:proofErr w:type="spellStart"/>
      <w:r w:rsidRPr="008157E6">
        <w:rPr>
          <w:rFonts w:asciiTheme="majorBidi" w:hAnsiTheme="majorBidi" w:cstheme="majorBidi"/>
        </w:rPr>
        <w:t>knowledge</w:t>
      </w:r>
      <w:proofErr w:type="spellEnd"/>
      <w:r w:rsidRPr="008157E6">
        <w:rPr>
          <w:rFonts w:asciiTheme="majorBidi" w:hAnsiTheme="majorBidi" w:cstheme="majorBidi"/>
        </w:rPr>
        <w:t xml:space="preserve"> management conventionnel est en train de subir une mutation profonde, longtemps focalisé sur la collecte et le classement de données, l'apparition du web 2.0 et son modèle d'intelligence participative lui offre désormais de nouvelles perspectives : décloisonner le management et connecter les personnes. Ce module vise la présentation de différents outils permettant la mise en place des réseaux de savoirs et des communautés de pratique qui s'impliquent et s'approprient collectivement les objectifs de l'entreprise.</w:t>
      </w:r>
    </w:p>
    <w:p w:rsidR="008157E6" w:rsidRPr="008157E6" w:rsidRDefault="008157E6" w:rsidP="008157E6">
      <w:pPr>
        <w:pStyle w:val="NormalWeb"/>
        <w:shd w:val="clear" w:color="auto" w:fill="FFFFFF"/>
        <w:spacing w:before="0" w:beforeAutospacing="0" w:after="0" w:afterAutospacing="0" w:line="195" w:lineRule="atLeast"/>
        <w:jc w:val="both"/>
        <w:rPr>
          <w:rFonts w:asciiTheme="majorBidi" w:hAnsiTheme="majorBidi" w:cstheme="majorBidi"/>
        </w:rPr>
      </w:pPr>
    </w:p>
    <w:p w:rsidR="006B56B2" w:rsidRDefault="006B56B2" w:rsidP="003B016C">
      <w:pPr>
        <w:rPr>
          <w:b/>
          <w:bCs/>
        </w:rPr>
      </w:pPr>
    </w:p>
    <w:p w:rsidR="003B016C" w:rsidRPr="00463ECA" w:rsidRDefault="003B016C" w:rsidP="003B016C">
      <w:pPr>
        <w:rPr>
          <w:b/>
          <w:bCs/>
        </w:rPr>
      </w:pPr>
      <w:r w:rsidRPr="00AF32DF">
        <w:rPr>
          <w:b/>
          <w:bCs/>
        </w:rPr>
        <w:t xml:space="preserve">Chapitre introductif : </w:t>
      </w:r>
      <w:r w:rsidRPr="00463ECA">
        <w:rPr>
          <w:b/>
          <w:bCs/>
          <w:lang w:val="fr-CA"/>
        </w:rPr>
        <w:t>Les dimensions importantes des connaissances</w:t>
      </w:r>
    </w:p>
    <w:p w:rsidR="003B016C" w:rsidRDefault="003B016C" w:rsidP="003B016C">
      <w:pPr>
        <w:rPr>
          <w:b/>
          <w:bCs/>
        </w:rPr>
      </w:pPr>
    </w:p>
    <w:p w:rsidR="003B016C" w:rsidRPr="00463ECA" w:rsidRDefault="003B016C" w:rsidP="003B016C">
      <w:pPr>
        <w:rPr>
          <w:b/>
          <w:bCs/>
        </w:rPr>
      </w:pPr>
      <w:r w:rsidRPr="00AF32DF">
        <w:rPr>
          <w:b/>
          <w:bCs/>
        </w:rPr>
        <w:t xml:space="preserve"> </w:t>
      </w:r>
      <w:proofErr w:type="spellStart"/>
      <w:r w:rsidRPr="00463ECA">
        <w:rPr>
          <w:b/>
          <w:bCs/>
        </w:rPr>
        <w:t>Knowledge</w:t>
      </w:r>
      <w:proofErr w:type="spellEnd"/>
      <w:r w:rsidRPr="00463ECA">
        <w:rPr>
          <w:b/>
          <w:bCs/>
        </w:rPr>
        <w:t xml:space="preserve"> Management </w:t>
      </w:r>
      <w:r w:rsidRPr="00463ECA">
        <w:rPr>
          <w:b/>
          <w:bCs/>
          <w:lang w:val="fr-CA"/>
        </w:rPr>
        <w:t>et apprentissage organisationnel</w:t>
      </w:r>
    </w:p>
    <w:p w:rsidR="003B016C" w:rsidRPr="00463ECA" w:rsidRDefault="003B016C" w:rsidP="003B016C">
      <w:pPr>
        <w:tabs>
          <w:tab w:val="center" w:pos="4819"/>
        </w:tabs>
      </w:pPr>
      <w:r w:rsidRPr="00B62C84">
        <w:t xml:space="preserve"> </w:t>
      </w:r>
      <w:r>
        <w:rPr>
          <w:lang w:val="fr-CA"/>
        </w:rPr>
        <w:t>A</w:t>
      </w:r>
      <w:r w:rsidRPr="00463ECA">
        <w:rPr>
          <w:lang w:val="fr-CA"/>
        </w:rPr>
        <w:t>pprentissage organisationnel</w:t>
      </w:r>
      <w:r w:rsidRPr="00463ECA">
        <w:tab/>
      </w:r>
    </w:p>
    <w:p w:rsidR="003B016C" w:rsidRPr="00463ECA" w:rsidRDefault="003B016C" w:rsidP="003B016C">
      <w:r w:rsidRPr="00463ECA">
        <w:t xml:space="preserve"> </w:t>
      </w:r>
      <w:proofErr w:type="spellStart"/>
      <w:r w:rsidRPr="00463ECA">
        <w:t>Knowledge</w:t>
      </w:r>
      <w:proofErr w:type="spellEnd"/>
      <w:r w:rsidRPr="00463ECA">
        <w:t xml:space="preserve"> Management</w:t>
      </w:r>
    </w:p>
    <w:p w:rsidR="003B016C" w:rsidRPr="00463ECA" w:rsidRDefault="003B016C" w:rsidP="003B016C">
      <w:r>
        <w:t xml:space="preserve"> </w:t>
      </w:r>
      <w:r w:rsidRPr="00463ECA">
        <w:rPr>
          <w:lang w:val="fr-CA"/>
        </w:rPr>
        <w:t xml:space="preserve">Les principaux types de systèmes de gestion des connaissances </w:t>
      </w:r>
    </w:p>
    <w:p w:rsidR="003B016C" w:rsidRPr="00463ECA" w:rsidRDefault="003B016C" w:rsidP="003B016C">
      <w:r w:rsidRPr="00463ECA">
        <w:rPr>
          <w:lang w:val="fr-CA"/>
        </w:rPr>
        <w:t>Le problème de la diffusion de la connaissance</w:t>
      </w:r>
    </w:p>
    <w:p w:rsidR="003B016C" w:rsidRPr="00F3128C" w:rsidRDefault="003B016C" w:rsidP="003B016C"/>
    <w:p w:rsidR="003B016C" w:rsidRPr="00AF32DF" w:rsidRDefault="003B016C" w:rsidP="003B016C">
      <w:pPr>
        <w:rPr>
          <w:b/>
          <w:bCs/>
        </w:rPr>
      </w:pPr>
      <w:r>
        <w:rPr>
          <w:b/>
          <w:bCs/>
        </w:rPr>
        <w:t xml:space="preserve"> </w:t>
      </w:r>
      <w:proofErr w:type="spellStart"/>
      <w:r w:rsidRPr="00463ECA">
        <w:rPr>
          <w:b/>
          <w:bCs/>
        </w:rPr>
        <w:t>Knowledge</w:t>
      </w:r>
      <w:proofErr w:type="spellEnd"/>
      <w:r w:rsidRPr="00463ECA">
        <w:rPr>
          <w:b/>
          <w:bCs/>
        </w:rPr>
        <w:t xml:space="preserve"> Management</w:t>
      </w:r>
      <w:r>
        <w:rPr>
          <w:b/>
          <w:bCs/>
        </w:rPr>
        <w:t xml:space="preserve"> dans l’entreprise </w:t>
      </w:r>
    </w:p>
    <w:p w:rsidR="003B016C" w:rsidRPr="006B56B2" w:rsidRDefault="003B016C" w:rsidP="008157E6">
      <w:r>
        <w:t xml:space="preserve"> </w:t>
      </w:r>
      <w:r w:rsidRPr="00463ECA">
        <w:rPr>
          <w:lang w:val="fr-CA"/>
        </w:rPr>
        <w:t xml:space="preserve">Technologies de soutien : portails, </w:t>
      </w:r>
      <w:r w:rsidRPr="006B56B2">
        <w:rPr>
          <w:lang w:val="fr-CA"/>
        </w:rPr>
        <w:t>outils de collaborat</w:t>
      </w:r>
      <w:r w:rsidR="008157E6" w:rsidRPr="006B56B2">
        <w:rPr>
          <w:lang w:val="fr-CA"/>
        </w:rPr>
        <w:t xml:space="preserve">ion et systèmes de gestion </w:t>
      </w:r>
      <w:r w:rsidRPr="006B56B2">
        <w:rPr>
          <w:lang w:val="fr-CA"/>
        </w:rPr>
        <w:t xml:space="preserve">de </w:t>
      </w:r>
      <w:r w:rsidR="008157E6" w:rsidRPr="006B56B2">
        <w:rPr>
          <w:lang w:val="fr-CA"/>
        </w:rPr>
        <w:t xml:space="preserve"> </w:t>
      </w:r>
      <w:r w:rsidRPr="006B56B2">
        <w:rPr>
          <w:lang w:val="fr-CA"/>
        </w:rPr>
        <w:t>l’apprentissage</w:t>
      </w:r>
    </w:p>
    <w:p w:rsidR="003B016C" w:rsidRPr="00B62C84" w:rsidRDefault="003B016C" w:rsidP="003B016C">
      <w:r>
        <w:t xml:space="preserve"> </w:t>
      </w:r>
      <w:r w:rsidRPr="00463ECA">
        <w:rPr>
          <w:lang w:val="fr-CA"/>
        </w:rPr>
        <w:t>Travailleurs de la connaissance et travail intellectuel</w:t>
      </w:r>
    </w:p>
    <w:p w:rsidR="003B016C" w:rsidRPr="00F675CA" w:rsidRDefault="003B016C" w:rsidP="003B016C">
      <w:r>
        <w:t xml:space="preserve"> </w:t>
      </w:r>
      <w:r w:rsidRPr="00F675CA">
        <w:rPr>
          <w:lang w:val="fr-CA"/>
        </w:rPr>
        <w:t>Exemples de systèmes pour le travail intellectuel</w:t>
      </w:r>
    </w:p>
    <w:p w:rsidR="003B016C" w:rsidRPr="00F675CA" w:rsidRDefault="008157E6" w:rsidP="003B016C">
      <w:r>
        <w:rPr>
          <w:lang w:val="fr-CA"/>
        </w:rPr>
        <w:t xml:space="preserve"> </w:t>
      </w:r>
      <w:r w:rsidR="003B016C" w:rsidRPr="00F675CA">
        <w:rPr>
          <w:lang w:val="fr-CA"/>
        </w:rPr>
        <w:t>L’intelligence organisationnelle</w:t>
      </w:r>
    </w:p>
    <w:p w:rsidR="0080235A" w:rsidRPr="008157E6" w:rsidRDefault="0080235A" w:rsidP="0080235A">
      <w:pPr>
        <w:pStyle w:val="Titre2"/>
        <w:keepLines/>
        <w:numPr>
          <w:ilvl w:val="1"/>
          <w:numId w:val="0"/>
        </w:numPr>
        <w:bidi w:val="0"/>
        <w:spacing w:before="200"/>
        <w:ind w:left="576" w:hanging="576"/>
        <w:rPr>
          <w:u w:val="none"/>
        </w:rPr>
      </w:pPr>
      <w:r w:rsidRPr="008157E6">
        <w:rPr>
          <w:u w:val="none"/>
        </w:rPr>
        <w:t>L'entreprise de demain</w:t>
      </w:r>
    </w:p>
    <w:p w:rsidR="0080235A" w:rsidRDefault="0080235A" w:rsidP="0080235A">
      <w:r>
        <w:t>Du Web 2.0 à l'entreprise 2.0</w:t>
      </w:r>
    </w:p>
    <w:p w:rsidR="0080235A" w:rsidRDefault="0080235A" w:rsidP="0080235A">
      <w:r>
        <w:t>L'entreprise 2.0 comme réponse à un écosystème mouvant</w:t>
      </w:r>
    </w:p>
    <w:p w:rsidR="0080235A" w:rsidRPr="00D54054" w:rsidRDefault="0080235A" w:rsidP="0080235A">
      <w:r>
        <w:t>L'émergence d'outils et d'usages technologiques</w:t>
      </w:r>
    </w:p>
    <w:p w:rsidR="0080235A" w:rsidRPr="008157E6" w:rsidRDefault="0080235A" w:rsidP="0080235A">
      <w:pPr>
        <w:pStyle w:val="Titre2"/>
        <w:keepLines/>
        <w:numPr>
          <w:ilvl w:val="1"/>
          <w:numId w:val="0"/>
        </w:numPr>
        <w:bidi w:val="0"/>
        <w:spacing w:before="200"/>
        <w:ind w:left="576" w:hanging="576"/>
        <w:rPr>
          <w:u w:val="none"/>
        </w:rPr>
      </w:pPr>
      <w:r w:rsidRPr="008157E6">
        <w:rPr>
          <w:u w:val="none"/>
        </w:rPr>
        <w:t>Changement de paradigme dans la gestion des connaissances</w:t>
      </w:r>
    </w:p>
    <w:p w:rsidR="0080235A" w:rsidRPr="00B60EEA" w:rsidRDefault="0080235A" w:rsidP="0080235A">
      <w:pPr>
        <w:rPr>
          <w:lang w:val="en-US"/>
        </w:rPr>
      </w:pPr>
      <w:r w:rsidRPr="00B60EEA">
        <w:rPr>
          <w:lang w:val="en-US"/>
        </w:rPr>
        <w:t xml:space="preserve">Knowledge Management </w:t>
      </w:r>
      <w:proofErr w:type="spellStart"/>
      <w:r w:rsidRPr="00B60EEA">
        <w:rPr>
          <w:lang w:val="en-US"/>
        </w:rPr>
        <w:t>conventionnel</w:t>
      </w:r>
      <w:proofErr w:type="spellEnd"/>
    </w:p>
    <w:p w:rsidR="0080235A" w:rsidRPr="00F208B6" w:rsidRDefault="0080235A" w:rsidP="0080235A">
      <w:pPr>
        <w:rPr>
          <w:lang w:val="en-US"/>
        </w:rPr>
      </w:pPr>
      <w:r w:rsidRPr="00F208B6">
        <w:rPr>
          <w:lang w:val="en-US"/>
        </w:rPr>
        <w:t xml:space="preserve">Knowledge Management </w:t>
      </w:r>
      <w:proofErr w:type="spellStart"/>
      <w:r w:rsidRPr="00F208B6">
        <w:rPr>
          <w:lang w:val="en-US"/>
        </w:rPr>
        <w:t>Conversationnel</w:t>
      </w:r>
      <w:proofErr w:type="spellEnd"/>
    </w:p>
    <w:p w:rsidR="0080235A" w:rsidRPr="00B60EEA" w:rsidRDefault="0080235A" w:rsidP="0080235A">
      <w:r w:rsidRPr="00B60EEA">
        <w:t xml:space="preserve">Piliers de l'intelligence collaborative </w:t>
      </w:r>
    </w:p>
    <w:p w:rsidR="0080235A" w:rsidRPr="00DA40E1" w:rsidRDefault="0080235A" w:rsidP="0080235A">
      <w:r w:rsidRPr="00DA40E1">
        <w:lastRenderedPageBreak/>
        <w:t>Coopération intellectuelle</w:t>
      </w:r>
    </w:p>
    <w:p w:rsidR="0080235A" w:rsidRPr="00EE6D21" w:rsidRDefault="0080235A" w:rsidP="0080235A">
      <w:pPr>
        <w:pStyle w:val="Titre2"/>
        <w:keepLines/>
        <w:numPr>
          <w:ilvl w:val="1"/>
          <w:numId w:val="0"/>
        </w:numPr>
        <w:bidi w:val="0"/>
        <w:spacing w:before="200"/>
        <w:ind w:left="576" w:hanging="576"/>
        <w:rPr>
          <w:u w:val="none"/>
        </w:rPr>
      </w:pPr>
      <w:r w:rsidRPr="00EE6D21">
        <w:rPr>
          <w:u w:val="none"/>
        </w:rPr>
        <w:t xml:space="preserve">Web 2.0 et </w:t>
      </w:r>
      <w:proofErr w:type="spellStart"/>
      <w:r w:rsidRPr="00EE6D21">
        <w:rPr>
          <w:u w:val="none"/>
        </w:rPr>
        <w:t>knowledge</w:t>
      </w:r>
      <w:proofErr w:type="spellEnd"/>
      <w:r w:rsidRPr="00EE6D21">
        <w:rPr>
          <w:u w:val="none"/>
        </w:rPr>
        <w:t xml:space="preserve"> Management</w:t>
      </w:r>
    </w:p>
    <w:p w:rsidR="0080235A" w:rsidRPr="008157E6" w:rsidRDefault="0080235A" w:rsidP="0080235A">
      <w:pPr>
        <w:pStyle w:val="Paragraphedeliste"/>
        <w:numPr>
          <w:ilvl w:val="0"/>
          <w:numId w:val="16"/>
        </w:numPr>
        <w:spacing w:after="0" w:line="240" w:lineRule="auto"/>
        <w:jc w:val="both"/>
        <w:rPr>
          <w:rFonts w:asciiTheme="majorBidi" w:hAnsiTheme="majorBidi" w:cstheme="majorBidi"/>
          <w:sz w:val="24"/>
          <w:szCs w:val="24"/>
        </w:rPr>
      </w:pPr>
      <w:r w:rsidRPr="008157E6">
        <w:rPr>
          <w:rFonts w:asciiTheme="majorBidi" w:hAnsiTheme="majorBidi" w:cstheme="majorBidi"/>
          <w:sz w:val="24"/>
          <w:szCs w:val="24"/>
        </w:rPr>
        <w:t>Usages des médias sociaux: Partager et collaborer, Converser,  Rechercher et collecter, Diffuser</w:t>
      </w:r>
    </w:p>
    <w:p w:rsidR="0080235A" w:rsidRPr="008157E6" w:rsidRDefault="0080235A" w:rsidP="0080235A">
      <w:pPr>
        <w:pStyle w:val="Paragraphedeliste"/>
        <w:numPr>
          <w:ilvl w:val="0"/>
          <w:numId w:val="16"/>
        </w:numPr>
        <w:spacing w:after="0" w:line="240" w:lineRule="auto"/>
        <w:jc w:val="both"/>
        <w:rPr>
          <w:rFonts w:asciiTheme="majorBidi" w:hAnsiTheme="majorBidi" w:cstheme="majorBidi"/>
          <w:sz w:val="24"/>
          <w:szCs w:val="24"/>
        </w:rPr>
      </w:pPr>
      <w:r w:rsidRPr="008157E6">
        <w:rPr>
          <w:rFonts w:asciiTheme="majorBidi" w:hAnsiTheme="majorBidi" w:cstheme="majorBidi"/>
          <w:sz w:val="24"/>
          <w:szCs w:val="24"/>
        </w:rPr>
        <w:t>Cartographie des usages</w:t>
      </w:r>
    </w:p>
    <w:p w:rsidR="0080235A" w:rsidRPr="008157E6" w:rsidRDefault="0080235A" w:rsidP="0080235A">
      <w:pPr>
        <w:pStyle w:val="Titre1"/>
        <w:keepLines/>
        <w:numPr>
          <w:ilvl w:val="0"/>
          <w:numId w:val="16"/>
        </w:numPr>
        <w:shd w:val="clear" w:color="auto" w:fill="FFFFFF"/>
        <w:bidi w:val="0"/>
        <w:spacing w:line="312" w:lineRule="atLeast"/>
        <w:textAlignment w:val="baseline"/>
        <w:rPr>
          <w:rFonts w:asciiTheme="majorBidi" w:eastAsiaTheme="minorHAnsi" w:hAnsiTheme="majorBidi" w:cstheme="majorBidi"/>
          <w:b w:val="0"/>
          <w:bCs w:val="0"/>
          <w:szCs w:val="24"/>
          <w:u w:val="none"/>
        </w:rPr>
      </w:pPr>
      <w:r w:rsidRPr="008157E6">
        <w:rPr>
          <w:rFonts w:asciiTheme="majorBidi" w:eastAsiaTheme="minorHAnsi" w:hAnsiTheme="majorBidi" w:cstheme="majorBidi"/>
          <w:b w:val="0"/>
          <w:bCs w:val="0"/>
          <w:szCs w:val="24"/>
          <w:u w:val="none"/>
        </w:rPr>
        <w:t xml:space="preserve">Outils Web 2.0 pour le </w:t>
      </w:r>
      <w:proofErr w:type="spellStart"/>
      <w:r w:rsidRPr="008157E6">
        <w:rPr>
          <w:rFonts w:asciiTheme="majorBidi" w:eastAsiaTheme="minorHAnsi" w:hAnsiTheme="majorBidi" w:cstheme="majorBidi"/>
          <w:b w:val="0"/>
          <w:bCs w:val="0"/>
          <w:szCs w:val="24"/>
          <w:u w:val="none"/>
        </w:rPr>
        <w:t>knowledge</w:t>
      </w:r>
      <w:proofErr w:type="spellEnd"/>
      <w:r w:rsidRPr="008157E6">
        <w:rPr>
          <w:rFonts w:asciiTheme="majorBidi" w:eastAsiaTheme="minorHAnsi" w:hAnsiTheme="majorBidi" w:cstheme="majorBidi"/>
          <w:b w:val="0"/>
          <w:bCs w:val="0"/>
          <w:szCs w:val="24"/>
          <w:u w:val="none"/>
        </w:rPr>
        <w:t xml:space="preserve"> management </w:t>
      </w:r>
    </w:p>
    <w:p w:rsidR="0080235A" w:rsidRPr="008157E6" w:rsidRDefault="0080235A" w:rsidP="0080235A">
      <w:pPr>
        <w:pStyle w:val="Titre1"/>
        <w:keepLines/>
        <w:numPr>
          <w:ilvl w:val="2"/>
          <w:numId w:val="16"/>
        </w:numPr>
        <w:shd w:val="clear" w:color="auto" w:fill="FFFFFF"/>
        <w:bidi w:val="0"/>
        <w:spacing w:line="312" w:lineRule="atLeast"/>
        <w:textAlignment w:val="baseline"/>
        <w:rPr>
          <w:rFonts w:asciiTheme="majorBidi" w:eastAsiaTheme="minorHAnsi" w:hAnsiTheme="majorBidi" w:cstheme="majorBidi"/>
          <w:b w:val="0"/>
          <w:bCs w:val="0"/>
          <w:szCs w:val="24"/>
          <w:u w:val="none"/>
        </w:rPr>
      </w:pPr>
      <w:r w:rsidRPr="008157E6">
        <w:rPr>
          <w:rFonts w:asciiTheme="majorBidi" w:eastAsiaTheme="minorHAnsi" w:hAnsiTheme="majorBidi" w:cstheme="majorBidi"/>
          <w:b w:val="0"/>
          <w:bCs w:val="0"/>
          <w:szCs w:val="24"/>
          <w:u w:val="none"/>
        </w:rPr>
        <w:t>Média sociaux et collaboration: Réseaux sociaux, outils de collaboration, contenus Sociaux, ...</w:t>
      </w:r>
    </w:p>
    <w:p w:rsidR="0080235A" w:rsidRPr="008157E6" w:rsidRDefault="0080235A" w:rsidP="0080235A">
      <w:pPr>
        <w:pStyle w:val="Paragraphedeliste"/>
        <w:numPr>
          <w:ilvl w:val="2"/>
          <w:numId w:val="16"/>
        </w:numPr>
        <w:spacing w:after="0" w:line="240" w:lineRule="auto"/>
        <w:jc w:val="both"/>
        <w:rPr>
          <w:rFonts w:asciiTheme="majorBidi" w:hAnsiTheme="majorBidi" w:cstheme="majorBidi"/>
          <w:sz w:val="24"/>
          <w:szCs w:val="24"/>
        </w:rPr>
      </w:pPr>
      <w:proofErr w:type="spellStart"/>
      <w:r w:rsidRPr="008157E6">
        <w:rPr>
          <w:rFonts w:asciiTheme="majorBidi" w:hAnsiTheme="majorBidi" w:cstheme="majorBidi"/>
          <w:sz w:val="24"/>
          <w:szCs w:val="24"/>
        </w:rPr>
        <w:t>Bookmarking</w:t>
      </w:r>
      <w:proofErr w:type="spellEnd"/>
      <w:r w:rsidRPr="008157E6">
        <w:rPr>
          <w:rFonts w:asciiTheme="majorBidi" w:hAnsiTheme="majorBidi" w:cstheme="majorBidi"/>
          <w:sz w:val="24"/>
          <w:szCs w:val="24"/>
        </w:rPr>
        <w:t xml:space="preserve"> social</w:t>
      </w:r>
    </w:p>
    <w:p w:rsidR="0080235A" w:rsidRPr="008157E6" w:rsidRDefault="0080235A" w:rsidP="00FE56EE">
      <w:pPr>
        <w:pStyle w:val="Titre2"/>
        <w:keepLines/>
        <w:numPr>
          <w:ilvl w:val="1"/>
          <w:numId w:val="0"/>
        </w:numPr>
        <w:bidi w:val="0"/>
        <w:spacing w:before="200"/>
        <w:ind w:left="576" w:hanging="576"/>
        <w:rPr>
          <w:rFonts w:asciiTheme="majorBidi" w:hAnsiTheme="majorBidi" w:cstheme="majorBidi"/>
          <w:sz w:val="24"/>
          <w:u w:val="none"/>
        </w:rPr>
      </w:pPr>
      <w:r w:rsidRPr="008157E6">
        <w:rPr>
          <w:rFonts w:asciiTheme="majorBidi" w:hAnsiTheme="majorBidi" w:cstheme="majorBidi"/>
          <w:sz w:val="24"/>
          <w:u w:val="none"/>
        </w:rPr>
        <w:t>Le leadership à l’ère de la collaboration</w:t>
      </w:r>
    </w:p>
    <w:sectPr w:rsidR="0080235A" w:rsidRPr="008157E6"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EE" w:rsidRDefault="00E66DEE" w:rsidP="00A25227">
      <w:r>
        <w:separator/>
      </w:r>
    </w:p>
  </w:endnote>
  <w:endnote w:type="continuationSeparator" w:id="0">
    <w:p w:rsidR="00E66DEE" w:rsidRDefault="00E66DEE" w:rsidP="00A25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5D26B8">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5D26B8">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CA7E52">
      <w:rPr>
        <w:rStyle w:val="Numrodepage"/>
        <w:noProof/>
      </w:rPr>
      <w:t>5</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EE" w:rsidRDefault="00E66DEE" w:rsidP="00A25227">
      <w:r>
        <w:separator/>
      </w:r>
    </w:p>
  </w:footnote>
  <w:footnote w:type="continuationSeparator" w:id="0">
    <w:p w:rsidR="00E66DEE" w:rsidRDefault="00E66DEE"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12B"/>
    <w:multiLevelType w:val="multilevel"/>
    <w:tmpl w:val="6D0E4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2">
    <w:nsid w:val="06785BFF"/>
    <w:multiLevelType w:val="multilevel"/>
    <w:tmpl w:val="0216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0A0166AC"/>
    <w:multiLevelType w:val="hybridMultilevel"/>
    <w:tmpl w:val="0DF49C00"/>
    <w:lvl w:ilvl="0" w:tplc="1DA80A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C9618B"/>
    <w:multiLevelType w:val="multilevel"/>
    <w:tmpl w:val="9E78D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057D6"/>
    <w:multiLevelType w:val="hybridMultilevel"/>
    <w:tmpl w:val="45CC04E6"/>
    <w:lvl w:ilvl="0" w:tplc="6622B3B2">
      <w:start w:val="1"/>
      <w:numFmt w:val="bullet"/>
      <w:lvlText w:val="•"/>
      <w:lvlJc w:val="left"/>
      <w:pPr>
        <w:tabs>
          <w:tab w:val="num" w:pos="720"/>
        </w:tabs>
        <w:ind w:left="720" w:hanging="360"/>
      </w:pPr>
      <w:rPr>
        <w:rFonts w:ascii="Times New Roman" w:hAnsi="Times New Roman" w:hint="default"/>
      </w:rPr>
    </w:lvl>
    <w:lvl w:ilvl="1" w:tplc="460CBB0A" w:tentative="1">
      <w:start w:val="1"/>
      <w:numFmt w:val="bullet"/>
      <w:lvlText w:val="•"/>
      <w:lvlJc w:val="left"/>
      <w:pPr>
        <w:tabs>
          <w:tab w:val="num" w:pos="1440"/>
        </w:tabs>
        <w:ind w:left="1440" w:hanging="360"/>
      </w:pPr>
      <w:rPr>
        <w:rFonts w:ascii="Times New Roman" w:hAnsi="Times New Roman" w:hint="default"/>
      </w:rPr>
    </w:lvl>
    <w:lvl w:ilvl="2" w:tplc="02FA8E8A" w:tentative="1">
      <w:start w:val="1"/>
      <w:numFmt w:val="bullet"/>
      <w:lvlText w:val="•"/>
      <w:lvlJc w:val="left"/>
      <w:pPr>
        <w:tabs>
          <w:tab w:val="num" w:pos="2160"/>
        </w:tabs>
        <w:ind w:left="2160" w:hanging="360"/>
      </w:pPr>
      <w:rPr>
        <w:rFonts w:ascii="Times New Roman" w:hAnsi="Times New Roman" w:hint="default"/>
      </w:rPr>
    </w:lvl>
    <w:lvl w:ilvl="3" w:tplc="F060407E" w:tentative="1">
      <w:start w:val="1"/>
      <w:numFmt w:val="bullet"/>
      <w:lvlText w:val="•"/>
      <w:lvlJc w:val="left"/>
      <w:pPr>
        <w:tabs>
          <w:tab w:val="num" w:pos="2880"/>
        </w:tabs>
        <w:ind w:left="2880" w:hanging="360"/>
      </w:pPr>
      <w:rPr>
        <w:rFonts w:ascii="Times New Roman" w:hAnsi="Times New Roman" w:hint="default"/>
      </w:rPr>
    </w:lvl>
    <w:lvl w:ilvl="4" w:tplc="8EF25110" w:tentative="1">
      <w:start w:val="1"/>
      <w:numFmt w:val="bullet"/>
      <w:lvlText w:val="•"/>
      <w:lvlJc w:val="left"/>
      <w:pPr>
        <w:tabs>
          <w:tab w:val="num" w:pos="3600"/>
        </w:tabs>
        <w:ind w:left="3600" w:hanging="360"/>
      </w:pPr>
      <w:rPr>
        <w:rFonts w:ascii="Times New Roman" w:hAnsi="Times New Roman" w:hint="default"/>
      </w:rPr>
    </w:lvl>
    <w:lvl w:ilvl="5" w:tplc="4AC82D12" w:tentative="1">
      <w:start w:val="1"/>
      <w:numFmt w:val="bullet"/>
      <w:lvlText w:val="•"/>
      <w:lvlJc w:val="left"/>
      <w:pPr>
        <w:tabs>
          <w:tab w:val="num" w:pos="4320"/>
        </w:tabs>
        <w:ind w:left="4320" w:hanging="360"/>
      </w:pPr>
      <w:rPr>
        <w:rFonts w:ascii="Times New Roman" w:hAnsi="Times New Roman" w:hint="default"/>
      </w:rPr>
    </w:lvl>
    <w:lvl w:ilvl="6" w:tplc="96BE921C" w:tentative="1">
      <w:start w:val="1"/>
      <w:numFmt w:val="bullet"/>
      <w:lvlText w:val="•"/>
      <w:lvlJc w:val="left"/>
      <w:pPr>
        <w:tabs>
          <w:tab w:val="num" w:pos="5040"/>
        </w:tabs>
        <w:ind w:left="5040" w:hanging="360"/>
      </w:pPr>
      <w:rPr>
        <w:rFonts w:ascii="Times New Roman" w:hAnsi="Times New Roman" w:hint="default"/>
      </w:rPr>
    </w:lvl>
    <w:lvl w:ilvl="7" w:tplc="B17ECC74" w:tentative="1">
      <w:start w:val="1"/>
      <w:numFmt w:val="bullet"/>
      <w:lvlText w:val="•"/>
      <w:lvlJc w:val="left"/>
      <w:pPr>
        <w:tabs>
          <w:tab w:val="num" w:pos="5760"/>
        </w:tabs>
        <w:ind w:left="5760" w:hanging="360"/>
      </w:pPr>
      <w:rPr>
        <w:rFonts w:ascii="Times New Roman" w:hAnsi="Times New Roman" w:hint="default"/>
      </w:rPr>
    </w:lvl>
    <w:lvl w:ilvl="8" w:tplc="032882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8">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9">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C6F0D59"/>
    <w:multiLevelType w:val="hybridMultilevel"/>
    <w:tmpl w:val="6F081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656E15"/>
    <w:multiLevelType w:val="hybridMultilevel"/>
    <w:tmpl w:val="E42E3F5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52332B74"/>
    <w:multiLevelType w:val="hybridMultilevel"/>
    <w:tmpl w:val="7F3CBB96"/>
    <w:lvl w:ilvl="0" w:tplc="441A2FC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5">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7">
    <w:nsid w:val="5E4A11F2"/>
    <w:multiLevelType w:val="hybridMultilevel"/>
    <w:tmpl w:val="51801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E53AB4"/>
    <w:multiLevelType w:val="multilevel"/>
    <w:tmpl w:val="891E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BEC7F6A"/>
    <w:multiLevelType w:val="hybridMultilevel"/>
    <w:tmpl w:val="8E4EF3CA"/>
    <w:lvl w:ilvl="0" w:tplc="4B0A40C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460F75"/>
    <w:multiLevelType w:val="hybridMultilevel"/>
    <w:tmpl w:val="78C48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D55B6F"/>
    <w:multiLevelType w:val="multilevel"/>
    <w:tmpl w:val="1512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9"/>
  </w:num>
  <w:num w:numId="2">
    <w:abstractNumId w:val="3"/>
  </w:num>
  <w:num w:numId="3">
    <w:abstractNumId w:val="1"/>
  </w:num>
  <w:num w:numId="4">
    <w:abstractNumId w:val="7"/>
  </w:num>
  <w:num w:numId="5">
    <w:abstractNumId w:val="9"/>
  </w:num>
  <w:num w:numId="6">
    <w:abstractNumId w:val="10"/>
  </w:num>
  <w:num w:numId="7">
    <w:abstractNumId w:val="15"/>
  </w:num>
  <w:num w:numId="8">
    <w:abstractNumId w:val="8"/>
  </w:num>
  <w:num w:numId="9">
    <w:abstractNumId w:val="23"/>
  </w:num>
  <w:num w:numId="10">
    <w:abstractNumId w:val="14"/>
  </w:num>
  <w:num w:numId="11">
    <w:abstractNumId w:val="16"/>
  </w:num>
  <w:num w:numId="12">
    <w:abstractNumId w:val="20"/>
  </w:num>
  <w:num w:numId="13">
    <w:abstractNumId w:val="4"/>
  </w:num>
  <w:num w:numId="14">
    <w:abstractNumId w:val="17"/>
  </w:num>
  <w:num w:numId="15">
    <w:abstractNumId w:val="13"/>
  </w:num>
  <w:num w:numId="16">
    <w:abstractNumId w:val="21"/>
  </w:num>
  <w:num w:numId="17">
    <w:abstractNumId w:val="11"/>
  </w:num>
  <w:num w:numId="18">
    <w:abstractNumId w:val="22"/>
  </w:num>
  <w:num w:numId="19">
    <w:abstractNumId w:val="0"/>
  </w:num>
  <w:num w:numId="20">
    <w:abstractNumId w:val="18"/>
  </w:num>
  <w:num w:numId="21">
    <w:abstractNumId w:val="5"/>
  </w:num>
  <w:num w:numId="22">
    <w:abstractNumId w:val="2"/>
  </w:num>
  <w:num w:numId="23">
    <w:abstractNumId w:val="6"/>
  </w:num>
  <w:num w:numId="2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139DB"/>
    <w:rsid w:val="000250A4"/>
    <w:rsid w:val="00037DA3"/>
    <w:rsid w:val="00055579"/>
    <w:rsid w:val="000556C9"/>
    <w:rsid w:val="000718BC"/>
    <w:rsid w:val="000A40E6"/>
    <w:rsid w:val="000D22E2"/>
    <w:rsid w:val="000E1AB4"/>
    <w:rsid w:val="000E51DA"/>
    <w:rsid w:val="001350B5"/>
    <w:rsid w:val="00186FBD"/>
    <w:rsid w:val="00196A89"/>
    <w:rsid w:val="001A0D61"/>
    <w:rsid w:val="001D1D5A"/>
    <w:rsid w:val="00216FA3"/>
    <w:rsid w:val="00222AB8"/>
    <w:rsid w:val="002350C8"/>
    <w:rsid w:val="00251988"/>
    <w:rsid w:val="002C2BE0"/>
    <w:rsid w:val="002D1BCD"/>
    <w:rsid w:val="002D7A7D"/>
    <w:rsid w:val="002E2FC3"/>
    <w:rsid w:val="00333DEC"/>
    <w:rsid w:val="00335292"/>
    <w:rsid w:val="003B016C"/>
    <w:rsid w:val="003B4643"/>
    <w:rsid w:val="00425B5B"/>
    <w:rsid w:val="0043147C"/>
    <w:rsid w:val="00435582"/>
    <w:rsid w:val="004B0421"/>
    <w:rsid w:val="00526E06"/>
    <w:rsid w:val="0054095A"/>
    <w:rsid w:val="0054515C"/>
    <w:rsid w:val="00587104"/>
    <w:rsid w:val="0059572D"/>
    <w:rsid w:val="005B5DD9"/>
    <w:rsid w:val="005C161D"/>
    <w:rsid w:val="005D26B8"/>
    <w:rsid w:val="005F12B2"/>
    <w:rsid w:val="005F2BD8"/>
    <w:rsid w:val="00611A7A"/>
    <w:rsid w:val="006545BF"/>
    <w:rsid w:val="00662D8E"/>
    <w:rsid w:val="0066675B"/>
    <w:rsid w:val="00685AA4"/>
    <w:rsid w:val="00690853"/>
    <w:rsid w:val="00697E2D"/>
    <w:rsid w:val="006B56B2"/>
    <w:rsid w:val="006B649D"/>
    <w:rsid w:val="006B6DDB"/>
    <w:rsid w:val="0070521B"/>
    <w:rsid w:val="00705737"/>
    <w:rsid w:val="0070733C"/>
    <w:rsid w:val="00741B19"/>
    <w:rsid w:val="00792156"/>
    <w:rsid w:val="007A2521"/>
    <w:rsid w:val="007A2B2F"/>
    <w:rsid w:val="0080235A"/>
    <w:rsid w:val="008157E6"/>
    <w:rsid w:val="00833FF1"/>
    <w:rsid w:val="00841A6F"/>
    <w:rsid w:val="008460FF"/>
    <w:rsid w:val="008620F0"/>
    <w:rsid w:val="008A5AB4"/>
    <w:rsid w:val="008B0571"/>
    <w:rsid w:val="008C5982"/>
    <w:rsid w:val="008D1335"/>
    <w:rsid w:val="008D3ABF"/>
    <w:rsid w:val="008E0CBA"/>
    <w:rsid w:val="008F17AB"/>
    <w:rsid w:val="008F4679"/>
    <w:rsid w:val="009224D1"/>
    <w:rsid w:val="00945DBB"/>
    <w:rsid w:val="0095003A"/>
    <w:rsid w:val="009557D6"/>
    <w:rsid w:val="00962189"/>
    <w:rsid w:val="00977121"/>
    <w:rsid w:val="00992E61"/>
    <w:rsid w:val="009A1FFA"/>
    <w:rsid w:val="009A5F29"/>
    <w:rsid w:val="009B2D08"/>
    <w:rsid w:val="009E0021"/>
    <w:rsid w:val="00A045DB"/>
    <w:rsid w:val="00A2258D"/>
    <w:rsid w:val="00A25227"/>
    <w:rsid w:val="00A276F6"/>
    <w:rsid w:val="00A4249A"/>
    <w:rsid w:val="00A43824"/>
    <w:rsid w:val="00A55899"/>
    <w:rsid w:val="00A850F6"/>
    <w:rsid w:val="00A94D89"/>
    <w:rsid w:val="00AB21C2"/>
    <w:rsid w:val="00AE778C"/>
    <w:rsid w:val="00B2255D"/>
    <w:rsid w:val="00BA2D8F"/>
    <w:rsid w:val="00BA60EA"/>
    <w:rsid w:val="00BB71B9"/>
    <w:rsid w:val="00BD6598"/>
    <w:rsid w:val="00C10518"/>
    <w:rsid w:val="00C119CA"/>
    <w:rsid w:val="00C25F57"/>
    <w:rsid w:val="00C2721C"/>
    <w:rsid w:val="00C4751F"/>
    <w:rsid w:val="00C607A0"/>
    <w:rsid w:val="00CA7E52"/>
    <w:rsid w:val="00D01C39"/>
    <w:rsid w:val="00D06E99"/>
    <w:rsid w:val="00D1267C"/>
    <w:rsid w:val="00D56797"/>
    <w:rsid w:val="00D70468"/>
    <w:rsid w:val="00DD650C"/>
    <w:rsid w:val="00DD79DD"/>
    <w:rsid w:val="00DE43A6"/>
    <w:rsid w:val="00E04E94"/>
    <w:rsid w:val="00E2121B"/>
    <w:rsid w:val="00E3165A"/>
    <w:rsid w:val="00E66DEE"/>
    <w:rsid w:val="00EB5401"/>
    <w:rsid w:val="00ED1F1F"/>
    <w:rsid w:val="00EE69D3"/>
    <w:rsid w:val="00EE6D21"/>
    <w:rsid w:val="00F12D21"/>
    <w:rsid w:val="00F45F60"/>
    <w:rsid w:val="00F47693"/>
    <w:rsid w:val="00F526F4"/>
    <w:rsid w:val="00F779A2"/>
    <w:rsid w:val="00FC7BF7"/>
    <w:rsid w:val="00FE56EE"/>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paragraph" w:styleId="Paragraphedeliste">
    <w:name w:val="List Paragraph"/>
    <w:basedOn w:val="Normal"/>
    <w:uiPriority w:val="34"/>
    <w:qFormat/>
    <w:rsid w:val="00587104"/>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chapitretitre">
    <w:name w:val="chapitre titre"/>
    <w:basedOn w:val="Normal"/>
    <w:semiHidden/>
    <w:rsid w:val="00D70468"/>
    <w:pPr>
      <w:spacing w:before="240" w:after="200"/>
      <w:jc w:val="center"/>
    </w:pPr>
    <w:rPr>
      <w:rFonts w:ascii="Arial" w:hAnsi="Arial"/>
      <w:b/>
      <w:sz w:val="32"/>
      <w:szCs w:val="32"/>
      <w:lang w:bidi="ar-SA"/>
    </w:rPr>
  </w:style>
  <w:style w:type="paragraph" w:customStyle="1" w:styleId="03courstitre1">
    <w:name w:val="03_cours_titre_1"/>
    <w:basedOn w:val="Titre1"/>
    <w:rsid w:val="00D70468"/>
    <w:pPr>
      <w:bidi w:val="0"/>
      <w:spacing w:before="360" w:after="60" w:line="240" w:lineRule="exact"/>
      <w:jc w:val="left"/>
    </w:pPr>
    <w:rPr>
      <w:rFonts w:ascii="Arial" w:hAnsi="Arial"/>
      <w:sz w:val="28"/>
      <w:szCs w:val="20"/>
      <w:u w:val="none"/>
      <w:lang w:bidi="ar-SA"/>
    </w:rPr>
  </w:style>
  <w:style w:type="paragraph" w:customStyle="1" w:styleId="04courstitre2">
    <w:name w:val="04_cours_titre_2"/>
    <w:rsid w:val="00D70468"/>
    <w:pPr>
      <w:spacing w:before="200" w:after="120" w:line="240" w:lineRule="exact"/>
    </w:pPr>
    <w:rPr>
      <w:rFonts w:ascii="Arial" w:hAnsi="Arial"/>
      <w:b/>
      <w:bCs/>
      <w:sz w:val="26"/>
      <w:szCs w:val="24"/>
    </w:rPr>
  </w:style>
  <w:style w:type="paragraph" w:customStyle="1" w:styleId="05courstitre3">
    <w:name w:val="05_cours_titre_3"/>
    <w:basedOn w:val="Titre2"/>
    <w:link w:val="05courstitre3Car"/>
    <w:rsid w:val="00D70468"/>
    <w:pPr>
      <w:bidi w:val="0"/>
      <w:spacing w:before="200" w:after="120" w:line="240" w:lineRule="exact"/>
      <w:ind w:left="0"/>
      <w:jc w:val="left"/>
    </w:pPr>
    <w:rPr>
      <w:rFonts w:ascii="Arial" w:hAnsi="Arial"/>
      <w:sz w:val="24"/>
      <w:u w:val="none"/>
      <w:lang w:bidi="ar-SA"/>
    </w:rPr>
  </w:style>
  <w:style w:type="paragraph" w:customStyle="1" w:styleId="06courstitre4">
    <w:name w:val="06_cours_titre_4"/>
    <w:rsid w:val="00D70468"/>
    <w:pPr>
      <w:spacing w:before="240" w:after="120" w:line="220" w:lineRule="exact"/>
      <w:ind w:left="284"/>
    </w:pPr>
    <w:rPr>
      <w:rFonts w:ascii="Arial" w:hAnsi="Arial"/>
      <w:bCs/>
      <w:sz w:val="22"/>
      <w:szCs w:val="24"/>
    </w:rPr>
  </w:style>
  <w:style w:type="paragraph" w:customStyle="1" w:styleId="08courstextecourant">
    <w:name w:val="08_cours_texte_courant"/>
    <w:basedOn w:val="Normal"/>
    <w:link w:val="08courstextecourantCarCar"/>
    <w:rsid w:val="00D70468"/>
    <w:pPr>
      <w:spacing w:before="20" w:after="10" w:line="260" w:lineRule="exact"/>
      <w:jc w:val="both"/>
    </w:pPr>
    <w:rPr>
      <w:szCs w:val="20"/>
      <w:lang w:bidi="ar-SA"/>
    </w:rPr>
  </w:style>
  <w:style w:type="character" w:customStyle="1" w:styleId="08courstextecourantCarCar">
    <w:name w:val="08_cours_texte_courant Car Car"/>
    <w:basedOn w:val="Policepardfaut"/>
    <w:link w:val="08courstextecourant"/>
    <w:rsid w:val="00D70468"/>
    <w:rPr>
      <w:sz w:val="24"/>
    </w:rPr>
  </w:style>
  <w:style w:type="character" w:styleId="Accentuation">
    <w:name w:val="Emphasis"/>
    <w:basedOn w:val="Policepardfaut"/>
    <w:qFormat/>
    <w:rsid w:val="00D70468"/>
    <w:rPr>
      <w:i/>
      <w:iCs/>
    </w:rPr>
  </w:style>
  <w:style w:type="character" w:customStyle="1" w:styleId="05courstitre3Car">
    <w:name w:val="05_cours_titre_3 Car"/>
    <w:basedOn w:val="Policepardfaut"/>
    <w:link w:val="05courstitre3"/>
    <w:rsid w:val="00D70468"/>
    <w:rPr>
      <w:rFonts w:ascii="Arial" w:hAnsi="Arial"/>
      <w:b/>
      <w:bCs/>
      <w:sz w:val="24"/>
      <w:szCs w:val="24"/>
    </w:rPr>
  </w:style>
  <w:style w:type="paragraph" w:customStyle="1" w:styleId="Default">
    <w:name w:val="Default"/>
    <w:rsid w:val="00D06E9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1532</Words>
  <Characters>8427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7</cp:revision>
  <cp:lastPrinted>2009-12-23T08:53:00Z</cp:lastPrinted>
  <dcterms:created xsi:type="dcterms:W3CDTF">2014-05-19T20:39:00Z</dcterms:created>
  <dcterms:modified xsi:type="dcterms:W3CDTF">2014-05-20T19:48:00Z</dcterms:modified>
</cp:coreProperties>
</file>