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C07" w:rsidRDefault="003C4C07" w:rsidP="003C4C07">
      <w:pPr>
        <w:pStyle w:val="2"/>
        <w:bidi w:val="0"/>
        <w:ind w:left="325"/>
        <w:rPr>
          <w:rFonts w:cs="Times New Roman"/>
          <w:color w:val="800000"/>
          <w:sz w:val="32"/>
          <w:szCs w:val="32"/>
        </w:rPr>
      </w:pPr>
      <w:bookmarkStart w:id="0" w:name="_Toc190138127"/>
      <w:r>
        <w:rPr>
          <w:rFonts w:cs="Times New Roman"/>
          <w:color w:val="800000"/>
          <w:sz w:val="32"/>
          <w:szCs w:val="32"/>
        </w:rPr>
        <w:t>Fiche descriptive d</w:t>
      </w:r>
      <w:proofErr w:type="spellStart"/>
      <w:r>
        <w:rPr>
          <w:rFonts w:cs="Times New Roman"/>
          <w:color w:val="800000"/>
          <w:sz w:val="32"/>
          <w:szCs w:val="32"/>
          <w:rtl/>
        </w:rPr>
        <w:t>’</w:t>
      </w:r>
      <w:proofErr w:type="spellEnd"/>
      <w:r>
        <w:rPr>
          <w:rFonts w:cs="Times New Roman"/>
          <w:color w:val="800000"/>
          <w:sz w:val="32"/>
          <w:szCs w:val="32"/>
        </w:rPr>
        <w:t>une unité d</w:t>
      </w:r>
      <w:proofErr w:type="spellStart"/>
      <w:r>
        <w:rPr>
          <w:rFonts w:cs="Times New Roman"/>
          <w:color w:val="800000"/>
          <w:sz w:val="32"/>
          <w:szCs w:val="32"/>
          <w:rtl/>
        </w:rPr>
        <w:t>’</w:t>
      </w:r>
      <w:proofErr w:type="spellEnd"/>
      <w:r>
        <w:rPr>
          <w:rFonts w:cs="Times New Roman"/>
          <w:color w:val="800000"/>
          <w:sz w:val="32"/>
          <w:szCs w:val="32"/>
        </w:rPr>
        <w:t>enseignement (UE)</w:t>
      </w:r>
      <w:bookmarkEnd w:id="0"/>
    </w:p>
    <w:p w:rsidR="003C4C07" w:rsidRDefault="003C4C07" w:rsidP="003C4C07">
      <w:pPr>
        <w:pStyle w:val="2"/>
        <w:bidi w:val="0"/>
        <w:ind w:left="325"/>
        <w:rPr>
          <w:rFonts w:cs="Times New Roman"/>
          <w:color w:val="800000"/>
          <w:sz w:val="28"/>
          <w:szCs w:val="28"/>
        </w:rPr>
      </w:pPr>
      <w:bookmarkStart w:id="1" w:name="_Toc190138128"/>
      <w:proofErr w:type="gramStart"/>
      <w:r>
        <w:rPr>
          <w:rFonts w:cs="Times New Roman"/>
          <w:color w:val="800000"/>
          <w:sz w:val="28"/>
          <w:szCs w:val="28"/>
        </w:rPr>
        <w:t>et</w:t>
      </w:r>
      <w:proofErr w:type="gramEnd"/>
      <w:r>
        <w:rPr>
          <w:rFonts w:cs="Times New Roman"/>
          <w:color w:val="800000"/>
          <w:sz w:val="28"/>
          <w:szCs w:val="28"/>
        </w:rPr>
        <w:t xml:space="preserve"> des éléments constitutifs d’une unité d’enseignement (ECUE)</w:t>
      </w:r>
      <w:bookmarkEnd w:id="1"/>
    </w:p>
    <w:p w:rsidR="003C4C07" w:rsidRDefault="003C4C07" w:rsidP="003C4C07">
      <w:pPr>
        <w:pStyle w:val="2"/>
        <w:bidi w:val="0"/>
        <w:rPr>
          <w:rFonts w:cs="Times New Roman"/>
          <w:sz w:val="32"/>
          <w:szCs w:val="32"/>
          <w:lang w:bidi="ar-M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3C4C07" w:rsidTr="00223708">
        <w:trPr>
          <w:cantSplit/>
          <w:trHeight w:val="427"/>
          <w:jc w:val="center"/>
        </w:trPr>
        <w:tc>
          <w:tcPr>
            <w:tcW w:w="9778" w:type="dxa"/>
            <w:tcBorders>
              <w:top w:val="double" w:sz="4" w:space="0" w:color="auto"/>
              <w:left w:val="double" w:sz="4" w:space="0" w:color="auto"/>
              <w:bottom w:val="double" w:sz="4" w:space="0" w:color="auto"/>
              <w:right w:val="double" w:sz="4" w:space="0" w:color="auto"/>
            </w:tcBorders>
          </w:tcPr>
          <w:p w:rsidR="003C4C07" w:rsidRDefault="003C4C07" w:rsidP="00223708">
            <w:pPr>
              <w:pStyle w:val="2"/>
              <w:bidi w:val="0"/>
              <w:rPr>
                <w:rFonts w:cs="Times New Roman"/>
                <w:sz w:val="28"/>
                <w:szCs w:val="28"/>
                <w:u w:val="single"/>
                <w:lang w:bidi="ar-MA"/>
              </w:rPr>
            </w:pPr>
            <w:bookmarkStart w:id="2" w:name="_Toc190138129"/>
            <w:r>
              <w:rPr>
                <w:rFonts w:cs="Times New Roman"/>
                <w:sz w:val="28"/>
                <w:szCs w:val="28"/>
                <w:u w:val="single"/>
                <w:lang w:bidi="ar-MA"/>
              </w:rPr>
              <w:t>Intitulé de l’UE</w:t>
            </w:r>
            <w:bookmarkEnd w:id="2"/>
          </w:p>
          <w:p w:rsidR="003C4C07" w:rsidRPr="003C4C07" w:rsidRDefault="003C4C07" w:rsidP="00223708">
            <w:pPr>
              <w:pStyle w:val="2"/>
              <w:bidi w:val="0"/>
              <w:rPr>
                <w:rFonts w:cs="Times New Roman"/>
                <w:sz w:val="24"/>
                <w:szCs w:val="24"/>
              </w:rPr>
            </w:pPr>
            <w:r w:rsidRPr="003C4C07">
              <w:rPr>
                <w:rFonts w:cs="Times New Roman"/>
                <w:sz w:val="28"/>
                <w:szCs w:val="28"/>
                <w:lang w:bidi="ar-MA"/>
              </w:rPr>
              <w:t xml:space="preserve">Culture Générale et Soft </w:t>
            </w:r>
            <w:proofErr w:type="spellStart"/>
            <w:r w:rsidRPr="003C4C07">
              <w:rPr>
                <w:rFonts w:cs="Times New Roman"/>
                <w:sz w:val="28"/>
                <w:szCs w:val="28"/>
                <w:lang w:bidi="ar-MA"/>
              </w:rPr>
              <w:t>Skills</w:t>
            </w:r>
            <w:proofErr w:type="spellEnd"/>
          </w:p>
        </w:tc>
      </w:tr>
    </w:tbl>
    <w:p w:rsidR="003C4C07" w:rsidRDefault="003C4C07" w:rsidP="003C4C07">
      <w:pPr>
        <w:pStyle w:val="2"/>
        <w:tabs>
          <w:tab w:val="left" w:pos="4889"/>
          <w:tab w:val="left" w:pos="9778"/>
        </w:tabs>
        <w:bidi w:val="0"/>
        <w:jc w:val="left"/>
        <w:rPr>
          <w:rFonts w:cs="Times New Roman"/>
          <w:color w:val="800000"/>
          <w:sz w:val="2"/>
          <w:szCs w:val="2"/>
        </w:rPr>
      </w:pPr>
      <w:r>
        <w:rPr>
          <w:rFonts w:cs="Times New Roman"/>
          <w:color w:val="800000"/>
          <w:sz w:val="22"/>
          <w:szCs w:val="22"/>
        </w:rPr>
        <w:tab/>
      </w:r>
    </w:p>
    <w:tbl>
      <w:tblPr>
        <w:tblW w:w="13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33"/>
      </w:tblGrid>
      <w:tr w:rsidR="003C4C07" w:rsidTr="00223708">
        <w:trPr>
          <w:cantSplit/>
          <w:jc w:val="center"/>
        </w:trPr>
        <w:tc>
          <w:tcPr>
            <w:tcW w:w="2688" w:type="dxa"/>
            <w:tcBorders>
              <w:top w:val="single" w:sz="4" w:space="0" w:color="auto"/>
              <w:left w:val="single" w:sz="4" w:space="0" w:color="auto"/>
              <w:bottom w:val="single" w:sz="4" w:space="0" w:color="auto"/>
              <w:right w:val="single" w:sz="4" w:space="0" w:color="auto"/>
            </w:tcBorders>
          </w:tcPr>
          <w:p w:rsidR="003C4C07" w:rsidRDefault="003C4C07" w:rsidP="003C4C07">
            <w:pPr>
              <w:pStyle w:val="2"/>
              <w:bidi w:val="0"/>
              <w:rPr>
                <w:rFonts w:cs="Times New Roman"/>
                <w:color w:val="800000"/>
                <w:sz w:val="22"/>
                <w:szCs w:val="22"/>
                <w:lang w:bidi="ar-MA"/>
              </w:rPr>
            </w:pPr>
            <w:bookmarkStart w:id="3" w:name="_Toc190138131"/>
            <w:r>
              <w:rPr>
                <w:rFonts w:cs="Times New Roman"/>
                <w:color w:val="800000"/>
                <w:sz w:val="22"/>
                <w:szCs w:val="22"/>
              </w:rPr>
              <w:t>Nombre des crédits: ...6...</w:t>
            </w:r>
            <w:bookmarkEnd w:id="3"/>
          </w:p>
        </w:tc>
      </w:tr>
      <w:tr w:rsidR="003C4C07" w:rsidTr="00223708">
        <w:trPr>
          <w:cantSplit/>
          <w:jc w:val="center"/>
        </w:trPr>
        <w:tc>
          <w:tcPr>
            <w:tcW w:w="2688" w:type="dxa"/>
            <w:tcBorders>
              <w:top w:val="single" w:sz="4" w:space="0" w:color="auto"/>
              <w:left w:val="single" w:sz="4" w:space="0" w:color="auto"/>
              <w:bottom w:val="single" w:sz="4" w:space="0" w:color="auto"/>
              <w:right w:val="single" w:sz="4" w:space="0" w:color="auto"/>
            </w:tcBorders>
          </w:tcPr>
          <w:p w:rsidR="003C4C07" w:rsidRDefault="003C4C07" w:rsidP="00752E81">
            <w:pPr>
              <w:pStyle w:val="2"/>
              <w:bidi w:val="0"/>
              <w:rPr>
                <w:rFonts w:cs="Times New Roman"/>
                <w:color w:val="800000"/>
                <w:sz w:val="22"/>
                <w:szCs w:val="22"/>
              </w:rPr>
            </w:pPr>
            <w:bookmarkStart w:id="4" w:name="_Toc190138132"/>
            <w:r>
              <w:rPr>
                <w:rFonts w:cs="Times New Roman"/>
                <w:color w:val="800000"/>
                <w:sz w:val="22"/>
                <w:szCs w:val="22"/>
                <w:lang w:bidi="ar-MA"/>
              </w:rPr>
              <w:t>Code UE : …</w:t>
            </w:r>
            <w:r w:rsidR="00752E81" w:rsidRPr="00752E81">
              <w:rPr>
                <w:rFonts w:cs="Times New Roman"/>
                <w:color w:val="FF0000"/>
                <w:sz w:val="22"/>
                <w:szCs w:val="22"/>
                <w:lang w:bidi="ar-MA"/>
              </w:rPr>
              <w:t>UE11</w:t>
            </w:r>
            <w:r>
              <w:rPr>
                <w:rFonts w:cs="Times New Roman"/>
                <w:color w:val="800000"/>
                <w:sz w:val="22"/>
                <w:szCs w:val="22"/>
                <w:lang w:bidi="ar-MA"/>
              </w:rPr>
              <w:t>……...</w:t>
            </w:r>
            <w:bookmarkEnd w:id="4"/>
          </w:p>
        </w:tc>
      </w:tr>
    </w:tbl>
    <w:p w:rsidR="003C4C07" w:rsidRDefault="003C4C07" w:rsidP="003C4C07">
      <w:pPr>
        <w:pStyle w:val="2"/>
        <w:bidi w:val="0"/>
        <w:ind w:left="325"/>
        <w:rPr>
          <w:rFonts w:cs="Times New Roman"/>
          <w:color w:val="8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3C4C07" w:rsidTr="00223708">
        <w:trPr>
          <w:jc w:val="center"/>
        </w:trPr>
        <w:tc>
          <w:tcPr>
            <w:tcW w:w="4889" w:type="dxa"/>
          </w:tcPr>
          <w:p w:rsidR="003C4C07" w:rsidRDefault="003C4C07" w:rsidP="00223708">
            <w:pPr>
              <w:pStyle w:val="7"/>
              <w:rPr>
                <w:color w:val="auto"/>
              </w:rPr>
            </w:pPr>
            <w:r>
              <w:rPr>
                <w:color w:val="auto"/>
              </w:rPr>
              <w:t xml:space="preserve">Université : </w:t>
            </w:r>
            <w:proofErr w:type="spellStart"/>
            <w:r>
              <w:rPr>
                <w:color w:val="auto"/>
              </w:rPr>
              <w:t>Manouba</w:t>
            </w:r>
            <w:proofErr w:type="spellEnd"/>
          </w:p>
        </w:tc>
        <w:tc>
          <w:tcPr>
            <w:tcW w:w="4889" w:type="dxa"/>
          </w:tcPr>
          <w:p w:rsidR="003C4C07" w:rsidRDefault="003C4C07" w:rsidP="00223708">
            <w:pPr>
              <w:pStyle w:val="7"/>
              <w:rPr>
                <w:color w:val="auto"/>
              </w:rPr>
            </w:pPr>
            <w:r>
              <w:rPr>
                <w:color w:val="auto"/>
              </w:rPr>
              <w:t>Etablissement : ISCAE – ESEN</w:t>
            </w:r>
          </w:p>
        </w:tc>
      </w:tr>
    </w:tbl>
    <w:p w:rsidR="003C4C07" w:rsidRDefault="003C4C07" w:rsidP="003C4C07">
      <w:pPr>
        <w:pStyle w:val="7"/>
        <w:tabs>
          <w:tab w:val="left" w:pos="4889"/>
          <w:tab w:val="left" w:pos="9778"/>
        </w:tabs>
        <w:jc w:val="left"/>
        <w:rPr>
          <w:color w:val="auto"/>
          <w:sz w:val="24"/>
          <w:szCs w:val="24"/>
        </w:rPr>
      </w:pPr>
      <w:r>
        <w:rPr>
          <w:color w:val="auto"/>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746"/>
        <w:gridCol w:w="1860"/>
      </w:tblGrid>
      <w:tr w:rsidR="003C4C07" w:rsidTr="00223708">
        <w:trPr>
          <w:jc w:val="center"/>
        </w:trPr>
        <w:tc>
          <w:tcPr>
            <w:tcW w:w="4889" w:type="dxa"/>
            <w:vAlign w:val="center"/>
          </w:tcPr>
          <w:p w:rsidR="003C4C07" w:rsidRDefault="003C4C07" w:rsidP="00223708">
            <w:pPr>
              <w:pStyle w:val="7"/>
              <w:jc w:val="left"/>
              <w:rPr>
                <w:color w:val="auto"/>
              </w:rPr>
            </w:pPr>
            <w:r>
              <w:rPr>
                <w:color w:val="auto"/>
              </w:rPr>
              <w:t xml:space="preserve">Domaine de formation : Economie et Gestion </w:t>
            </w:r>
          </w:p>
        </w:tc>
        <w:tc>
          <w:tcPr>
            <w:tcW w:w="4889" w:type="dxa"/>
            <w:gridSpan w:val="2"/>
            <w:vAlign w:val="center"/>
          </w:tcPr>
          <w:p w:rsidR="003C4C07" w:rsidRDefault="003C4C07" w:rsidP="00223708">
            <w:pPr>
              <w:pStyle w:val="7"/>
              <w:jc w:val="left"/>
              <w:rPr>
                <w:color w:val="auto"/>
              </w:rPr>
            </w:pPr>
            <w:r>
              <w:rPr>
                <w:color w:val="auto"/>
              </w:rPr>
              <w:t xml:space="preserve">Mention : Management </w:t>
            </w:r>
          </w:p>
        </w:tc>
      </w:tr>
      <w:tr w:rsidR="003C4C07" w:rsidTr="00223708">
        <w:trPr>
          <w:jc w:val="center"/>
        </w:trPr>
        <w:tc>
          <w:tcPr>
            <w:tcW w:w="7810" w:type="dxa"/>
            <w:gridSpan w:val="2"/>
            <w:vAlign w:val="center"/>
          </w:tcPr>
          <w:p w:rsidR="003C4C07" w:rsidRDefault="003C4C07" w:rsidP="00223708">
            <w:pPr>
              <w:pStyle w:val="7"/>
              <w:jc w:val="left"/>
              <w:rPr>
                <w:color w:val="auto"/>
                <w:lang w:bidi="ar-MA"/>
              </w:rPr>
            </w:pPr>
            <w:r>
              <w:rPr>
                <w:color w:val="auto"/>
                <w:lang w:bidi="ar-MA"/>
              </w:rPr>
              <w:t xml:space="preserve">Diplôme et </w:t>
            </w:r>
            <w:r>
              <w:rPr>
                <w:color w:val="auto"/>
              </w:rPr>
              <w:t>Parcours</w:t>
            </w:r>
          </w:p>
          <w:p w:rsidR="003C4C07" w:rsidRDefault="003C4C07" w:rsidP="00223708">
            <w:pPr>
              <w:pStyle w:val="7"/>
              <w:jc w:val="left"/>
              <w:rPr>
                <w:color w:val="auto"/>
                <w:rtl/>
                <w:lang w:bidi="ar-MA"/>
              </w:rPr>
            </w:pPr>
            <w:r>
              <w:rPr>
                <w:color w:val="auto"/>
                <w:lang w:bidi="ar-MA"/>
              </w:rPr>
              <w:t>LA …………………..………..…………… Parcours : ………………………</w:t>
            </w:r>
          </w:p>
          <w:p w:rsidR="003C4C07" w:rsidRDefault="003C4C07" w:rsidP="00223708">
            <w:pPr>
              <w:pStyle w:val="7"/>
              <w:jc w:val="left"/>
              <w:rPr>
                <w:color w:val="auto"/>
                <w:lang w:bidi="ar-MA"/>
              </w:rPr>
            </w:pPr>
          </w:p>
          <w:p w:rsidR="003C4C07" w:rsidRDefault="003C4C07" w:rsidP="003C4C07">
            <w:pPr>
              <w:pStyle w:val="7"/>
              <w:jc w:val="left"/>
              <w:rPr>
                <w:color w:val="auto"/>
                <w:lang w:bidi="ar-MA"/>
              </w:rPr>
            </w:pPr>
            <w:r>
              <w:rPr>
                <w:color w:val="auto"/>
                <w:lang w:bidi="ar-MA"/>
              </w:rPr>
              <w:t>MP Master Veille et intelligence Compétitive   … Parcours : …………</w:t>
            </w:r>
          </w:p>
          <w:p w:rsidR="003C4C07" w:rsidRDefault="003C4C07" w:rsidP="00223708">
            <w:pPr>
              <w:pStyle w:val="7"/>
              <w:jc w:val="left"/>
              <w:rPr>
                <w:color w:val="auto"/>
                <w:lang w:bidi="ar-MA"/>
              </w:rPr>
            </w:pPr>
            <w:r>
              <w:rPr>
                <w:color w:val="auto"/>
                <w:lang w:bidi="ar-MA"/>
              </w:rPr>
              <w:t>MR ………………..………..…………  … Parcours : ………………… ……</w:t>
            </w:r>
          </w:p>
        </w:tc>
        <w:tc>
          <w:tcPr>
            <w:tcW w:w="1968" w:type="dxa"/>
            <w:vAlign w:val="center"/>
          </w:tcPr>
          <w:p w:rsidR="003C4C07" w:rsidRDefault="003C4C07" w:rsidP="00223708">
            <w:pPr>
              <w:pStyle w:val="7"/>
              <w:jc w:val="left"/>
              <w:rPr>
                <w:color w:val="auto"/>
              </w:rPr>
            </w:pPr>
            <w:r>
              <w:rPr>
                <w:color w:val="auto"/>
              </w:rPr>
              <w:t>Semestre    1</w:t>
            </w:r>
          </w:p>
        </w:tc>
      </w:tr>
    </w:tbl>
    <w:p w:rsidR="00E26E37" w:rsidRDefault="00E26E37" w:rsidP="00E26E37">
      <w:pPr>
        <w:autoSpaceDE w:val="0"/>
        <w:autoSpaceDN w:val="0"/>
        <w:adjustRightInd w:val="0"/>
        <w:jc w:val="both"/>
        <w:rPr>
          <w:b/>
          <w:bCs/>
          <w:lang w:bidi="ar-SA"/>
        </w:rPr>
      </w:pPr>
    </w:p>
    <w:p w:rsidR="00E26E37" w:rsidRPr="00BB7367" w:rsidRDefault="00E26E37" w:rsidP="00E26E37">
      <w:pPr>
        <w:pStyle w:val="Paragraphedeliste"/>
        <w:numPr>
          <w:ilvl w:val="0"/>
          <w:numId w:val="1"/>
        </w:numPr>
        <w:autoSpaceDE w:val="0"/>
        <w:autoSpaceDN w:val="0"/>
        <w:adjustRightInd w:val="0"/>
        <w:spacing w:after="0" w:line="240" w:lineRule="auto"/>
        <w:rPr>
          <w:rFonts w:ascii="Times New Roman" w:hAnsi="Times New Roman"/>
          <w:b/>
          <w:bCs/>
          <w:color w:val="0000FF"/>
          <w:sz w:val="24"/>
          <w:szCs w:val="24"/>
          <w:lang w:bidi="ar-SA"/>
        </w:rPr>
      </w:pPr>
      <w:r w:rsidRPr="00BB7367">
        <w:rPr>
          <w:rFonts w:ascii="Times New Roman" w:hAnsi="Times New Roman"/>
          <w:b/>
          <w:bCs/>
          <w:color w:val="0000FF"/>
          <w:sz w:val="24"/>
          <w:szCs w:val="24"/>
          <w:lang w:bidi="ar-SA"/>
        </w:rPr>
        <w:t xml:space="preserve">Objectifs de l’UE </w:t>
      </w:r>
      <w:r w:rsidRPr="00BB7367">
        <w:rPr>
          <w:rFonts w:ascii="Times New Roman" w:hAnsi="Times New Roman"/>
          <w:color w:val="0000FF"/>
          <w:sz w:val="24"/>
          <w:szCs w:val="24"/>
          <w:lang w:bidi="ar-SA"/>
        </w:rPr>
        <w:t>(Savoirs, aptitudes et compétences</w:t>
      </w:r>
      <w:r w:rsidRPr="00BB7367">
        <w:rPr>
          <w:rFonts w:ascii="Times New Roman" w:hAnsi="Times New Roman"/>
          <w:b/>
          <w:bCs/>
          <w:color w:val="0000FF"/>
          <w:sz w:val="24"/>
          <w:szCs w:val="24"/>
          <w:lang w:bidi="ar-SA"/>
        </w:rPr>
        <w:t>)</w:t>
      </w:r>
    </w:p>
    <w:p w:rsidR="00E26E37" w:rsidRDefault="00E26E37" w:rsidP="00176649">
      <w:pPr>
        <w:pBdr>
          <w:top w:val="single" w:sz="4" w:space="1" w:color="auto"/>
          <w:left w:val="single" w:sz="4" w:space="4" w:color="auto"/>
          <w:bottom w:val="single" w:sz="4" w:space="0" w:color="auto"/>
          <w:right w:val="single" w:sz="4" w:space="5" w:color="auto"/>
        </w:pBdr>
        <w:spacing w:before="100" w:beforeAutospacing="1" w:after="100" w:afterAutospacing="1"/>
        <w:jc w:val="both"/>
        <w:rPr>
          <w:lang w:bidi="ar-SA"/>
        </w:rPr>
      </w:pPr>
      <w:r>
        <w:rPr>
          <w:lang w:bidi="ar-SA"/>
        </w:rPr>
        <w:t xml:space="preserve">    Cette unité à pour ambition d’offrir aux étudiants l’opportunité de </w:t>
      </w:r>
      <w:r w:rsidR="005B7236">
        <w:rPr>
          <w:lang w:bidi="ar-SA"/>
        </w:rPr>
        <w:t xml:space="preserve">comprendre et de gérer les </w:t>
      </w:r>
      <w:r w:rsidR="00DD786E" w:rsidRPr="00DD786E">
        <w:rPr>
          <w:lang w:bidi="ar-SA"/>
        </w:rPr>
        <w:t>communautés virtue</w:t>
      </w:r>
      <w:r w:rsidR="003C4C07">
        <w:rPr>
          <w:lang w:bidi="ar-SA"/>
        </w:rPr>
        <w:t>lles et consolider leurs connaissances en matière de techniques de communication.</w:t>
      </w:r>
    </w:p>
    <w:p w:rsidR="00E26E37" w:rsidRDefault="00E26E37" w:rsidP="00E26E37">
      <w:pPr>
        <w:numPr>
          <w:ilvl w:val="0"/>
          <w:numId w:val="2"/>
        </w:numPr>
        <w:autoSpaceDE w:val="0"/>
        <w:autoSpaceDN w:val="0"/>
        <w:adjustRightInd w:val="0"/>
        <w:ind w:left="330" w:hanging="330"/>
        <w:rPr>
          <w:color w:val="0000FF"/>
          <w:lang w:bidi="ar-SA"/>
        </w:rPr>
      </w:pPr>
      <w:r>
        <w:rPr>
          <w:b/>
          <w:bCs/>
          <w:color w:val="0000FF"/>
          <w:lang w:bidi="ar-SA"/>
        </w:rPr>
        <w:t xml:space="preserve">Pré-requis </w:t>
      </w:r>
      <w:r>
        <w:rPr>
          <w:color w:val="0000FF"/>
          <w:lang w:bidi="ar-SA"/>
        </w:rPr>
        <w:t>(définir les UE et les compétences indispensables pour suivre l’UE concernée)</w:t>
      </w:r>
    </w:p>
    <w:p w:rsidR="00E26E37" w:rsidRPr="00EA3EFA" w:rsidRDefault="00E26E37" w:rsidP="00E26E37">
      <w:pPr>
        <w:pStyle w:val="Paragraphedeliste"/>
        <w:numPr>
          <w:ilvl w:val="0"/>
          <w:numId w:val="2"/>
        </w:numPr>
        <w:tabs>
          <w:tab w:val="left" w:pos="284"/>
        </w:tabs>
        <w:autoSpaceDE w:val="0"/>
        <w:autoSpaceDN w:val="0"/>
        <w:adjustRightInd w:val="0"/>
        <w:spacing w:after="0" w:line="240" w:lineRule="auto"/>
        <w:ind w:left="0" w:firstLine="0"/>
        <w:rPr>
          <w:rFonts w:ascii="Times New Roman" w:hAnsi="Times New Roman"/>
          <w:color w:val="000000"/>
          <w:sz w:val="20"/>
          <w:szCs w:val="20"/>
          <w:lang w:bidi="ar-SA"/>
        </w:rPr>
      </w:pPr>
      <w:r w:rsidRPr="00EA3EFA">
        <w:rPr>
          <w:rFonts w:ascii="Times New Roman" w:hAnsi="Times New Roman"/>
          <w:b/>
          <w:bCs/>
          <w:color w:val="0000FF"/>
          <w:sz w:val="24"/>
          <w:szCs w:val="24"/>
          <w:lang w:bidi="ar-SA"/>
        </w:rPr>
        <w:t xml:space="preserve">Eléments constitutifs de l’UE </w:t>
      </w:r>
      <w:r w:rsidRPr="00EA3EFA">
        <w:rPr>
          <w:rFonts w:ascii="Times New Roman" w:hAnsi="Times New Roman"/>
          <w:color w:val="0000FF"/>
          <w:sz w:val="24"/>
          <w:szCs w:val="24"/>
          <w:lang w:bidi="ar-SA"/>
        </w:rPr>
        <w:t>(ECUE)</w:t>
      </w:r>
    </w:p>
    <w:p w:rsidR="00E26E37" w:rsidRDefault="00E26E37" w:rsidP="00E26E37">
      <w:pPr>
        <w:pStyle w:val="Paragraphedeliste"/>
        <w:tabs>
          <w:tab w:val="left" w:pos="284"/>
        </w:tabs>
        <w:autoSpaceDE w:val="0"/>
        <w:autoSpaceDN w:val="0"/>
        <w:adjustRightInd w:val="0"/>
        <w:spacing w:after="0" w:line="240" w:lineRule="auto"/>
        <w:ind w:left="0"/>
        <w:rPr>
          <w:rFonts w:ascii="Times New Roman" w:hAnsi="Times New Roman"/>
          <w:b/>
          <w:bCs/>
          <w:color w:val="0000FF"/>
          <w:sz w:val="24"/>
          <w:szCs w:val="24"/>
          <w:lang w:bidi="ar-SA"/>
        </w:rPr>
      </w:pPr>
      <w:r>
        <w:rPr>
          <w:rFonts w:ascii="Times New Roman" w:hAnsi="Times New Roman"/>
          <w:b/>
          <w:bCs/>
          <w:color w:val="0000FF"/>
          <w:sz w:val="24"/>
          <w:szCs w:val="24"/>
          <w:lang w:bidi="ar-SA"/>
        </w:rPr>
        <w:t>3.1- Enseignements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7"/>
        <w:gridCol w:w="816"/>
        <w:gridCol w:w="1121"/>
        <w:gridCol w:w="1322"/>
        <w:gridCol w:w="1609"/>
        <w:gridCol w:w="1373"/>
      </w:tblGrid>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Eléments constitutifs</w:t>
            </w:r>
          </w:p>
        </w:tc>
        <w:tc>
          <w:tcPr>
            <w:tcW w:w="4868"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Volume horaire semestriel</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047"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16"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Cours</w:t>
            </w:r>
          </w:p>
        </w:tc>
        <w:tc>
          <w:tcPr>
            <w:tcW w:w="112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TD</w:t>
            </w:r>
          </w:p>
        </w:tc>
        <w:tc>
          <w:tcPr>
            <w:tcW w:w="1322"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TP</w:t>
            </w:r>
          </w:p>
        </w:tc>
        <w:tc>
          <w:tcPr>
            <w:tcW w:w="1609"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1373"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176649" w:rsidRPr="00404595" w:rsidTr="00AE2AF2">
        <w:tc>
          <w:tcPr>
            <w:tcW w:w="3047" w:type="dxa"/>
            <w:vAlign w:val="center"/>
          </w:tcPr>
          <w:p w:rsidR="00176649" w:rsidRPr="008263CA" w:rsidRDefault="003C4C07" w:rsidP="00CD0AE9">
            <w:pPr>
              <w:pStyle w:val="Contenudetableau"/>
              <w:snapToGrid w:val="0"/>
              <w:jc w:val="center"/>
              <w:rPr>
                <w:sz w:val="18"/>
                <w:szCs w:val="18"/>
              </w:rPr>
            </w:pPr>
            <w:r w:rsidRPr="003C4C07">
              <w:rPr>
                <w:rFonts w:cs="Times New Roman"/>
                <w:sz w:val="18"/>
                <w:szCs w:val="18"/>
              </w:rPr>
              <w:t>Management des communautés virtuelles</w:t>
            </w:r>
          </w:p>
        </w:tc>
        <w:tc>
          <w:tcPr>
            <w:tcW w:w="816" w:type="dxa"/>
            <w:tcBorders>
              <w:right w:val="single" w:sz="4" w:space="0" w:color="auto"/>
            </w:tcBorders>
            <w:vAlign w:val="center"/>
          </w:tcPr>
          <w:p w:rsidR="00176649" w:rsidRPr="00404595" w:rsidRDefault="00176649"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Pr>
                <w:rFonts w:ascii="Times New Roman" w:hAnsi="Times New Roman"/>
                <w:color w:val="000000"/>
                <w:sz w:val="24"/>
                <w:szCs w:val="24"/>
                <w:lang w:bidi="ar-SA"/>
              </w:rPr>
              <w:t>21</w:t>
            </w:r>
          </w:p>
        </w:tc>
        <w:tc>
          <w:tcPr>
            <w:tcW w:w="1121" w:type="dxa"/>
            <w:tcBorders>
              <w:left w:val="single" w:sz="4" w:space="0" w:color="auto"/>
              <w:right w:val="single" w:sz="4" w:space="0" w:color="auto"/>
            </w:tcBorders>
            <w:vAlign w:val="center"/>
          </w:tcPr>
          <w:p w:rsidR="00176649" w:rsidRPr="00404595" w:rsidRDefault="00176649"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p>
        </w:tc>
        <w:tc>
          <w:tcPr>
            <w:tcW w:w="1322" w:type="dxa"/>
            <w:tcBorders>
              <w:left w:val="single" w:sz="4" w:space="0" w:color="auto"/>
              <w:right w:val="single" w:sz="4" w:space="0" w:color="auto"/>
            </w:tcBorders>
            <w:vAlign w:val="center"/>
          </w:tcPr>
          <w:p w:rsidR="00176649" w:rsidRPr="00404595" w:rsidRDefault="00176649" w:rsidP="00CD0AE9">
            <w:pPr>
              <w:jc w:val="center"/>
            </w:pPr>
            <w:r w:rsidRPr="00404595">
              <w:rPr>
                <w:color w:val="000000"/>
                <w:lang w:bidi="ar-SA"/>
              </w:rPr>
              <w:t>……..</w:t>
            </w:r>
          </w:p>
        </w:tc>
        <w:tc>
          <w:tcPr>
            <w:tcW w:w="1609" w:type="dxa"/>
            <w:tcBorders>
              <w:left w:val="single" w:sz="4" w:space="0" w:color="auto"/>
            </w:tcBorders>
            <w:vAlign w:val="center"/>
          </w:tcPr>
          <w:p w:rsidR="00176649" w:rsidRPr="00404595" w:rsidRDefault="00176649" w:rsidP="00CD0AE9">
            <w:pPr>
              <w:jc w:val="center"/>
            </w:pPr>
            <w:r w:rsidRPr="00404595">
              <w:rPr>
                <w:color w:val="000000"/>
                <w:lang w:bidi="ar-SA"/>
              </w:rPr>
              <w:t>……..</w:t>
            </w:r>
          </w:p>
        </w:tc>
        <w:tc>
          <w:tcPr>
            <w:tcW w:w="1373" w:type="dxa"/>
            <w:vAlign w:val="center"/>
          </w:tcPr>
          <w:p w:rsidR="00176649" w:rsidRPr="00CC3577" w:rsidRDefault="003C4C07" w:rsidP="00CD0AE9">
            <w:pPr>
              <w:jc w:val="center"/>
              <w:rPr>
                <w:sz w:val="20"/>
                <w:szCs w:val="20"/>
              </w:rPr>
            </w:pPr>
            <w:r>
              <w:rPr>
                <w:sz w:val="20"/>
                <w:szCs w:val="20"/>
              </w:rPr>
              <w:t>3</w:t>
            </w:r>
          </w:p>
        </w:tc>
      </w:tr>
      <w:tr w:rsidR="00176649" w:rsidRPr="00404595" w:rsidTr="00AE2AF2">
        <w:trPr>
          <w:trHeight w:val="241"/>
        </w:trPr>
        <w:tc>
          <w:tcPr>
            <w:tcW w:w="3047" w:type="dxa"/>
            <w:vAlign w:val="center"/>
          </w:tcPr>
          <w:p w:rsidR="00176649" w:rsidRPr="008263CA" w:rsidRDefault="003C4C07" w:rsidP="00CD0AE9">
            <w:pPr>
              <w:pStyle w:val="Contenudetableau"/>
              <w:snapToGrid w:val="0"/>
              <w:jc w:val="center"/>
              <w:rPr>
                <w:rFonts w:cs="Times New Roman"/>
                <w:sz w:val="18"/>
                <w:szCs w:val="18"/>
              </w:rPr>
            </w:pPr>
            <w:r>
              <w:rPr>
                <w:rFonts w:cs="Times New Roman"/>
                <w:sz w:val="18"/>
                <w:szCs w:val="18"/>
              </w:rPr>
              <w:t>Techniques de communication</w:t>
            </w:r>
          </w:p>
        </w:tc>
        <w:tc>
          <w:tcPr>
            <w:tcW w:w="816" w:type="dxa"/>
            <w:tcBorders>
              <w:right w:val="single" w:sz="4" w:space="0" w:color="auto"/>
            </w:tcBorders>
            <w:vAlign w:val="center"/>
          </w:tcPr>
          <w:p w:rsidR="00176649" w:rsidRPr="00BA15E3" w:rsidRDefault="00AD22AD" w:rsidP="00CD0AE9">
            <w:pPr>
              <w:jc w:val="center"/>
              <w:rPr>
                <w:sz w:val="20"/>
                <w:szCs w:val="20"/>
              </w:rPr>
            </w:pPr>
            <w:r>
              <w:rPr>
                <w:sz w:val="20"/>
                <w:szCs w:val="20"/>
              </w:rPr>
              <w:t>42</w:t>
            </w:r>
          </w:p>
        </w:tc>
        <w:tc>
          <w:tcPr>
            <w:tcW w:w="1121" w:type="dxa"/>
            <w:tcBorders>
              <w:left w:val="single" w:sz="4" w:space="0" w:color="auto"/>
              <w:right w:val="single" w:sz="4" w:space="0" w:color="auto"/>
            </w:tcBorders>
            <w:vAlign w:val="center"/>
          </w:tcPr>
          <w:p w:rsidR="00176649" w:rsidRPr="00CC3577" w:rsidRDefault="00176649" w:rsidP="00CD0AE9">
            <w:pPr>
              <w:jc w:val="center"/>
              <w:rPr>
                <w:sz w:val="20"/>
                <w:szCs w:val="20"/>
              </w:rPr>
            </w:pPr>
          </w:p>
        </w:tc>
        <w:tc>
          <w:tcPr>
            <w:tcW w:w="1322" w:type="dxa"/>
            <w:tcBorders>
              <w:left w:val="single" w:sz="4" w:space="0" w:color="auto"/>
              <w:right w:val="single" w:sz="4" w:space="0" w:color="auto"/>
            </w:tcBorders>
          </w:tcPr>
          <w:p w:rsidR="00176649" w:rsidRPr="00404595" w:rsidRDefault="00176649" w:rsidP="00CD0AE9"/>
        </w:tc>
        <w:tc>
          <w:tcPr>
            <w:tcW w:w="1609" w:type="dxa"/>
            <w:tcBorders>
              <w:left w:val="single" w:sz="4" w:space="0" w:color="auto"/>
            </w:tcBorders>
          </w:tcPr>
          <w:p w:rsidR="00176649" w:rsidRPr="00404595" w:rsidRDefault="00176649" w:rsidP="00CD0AE9"/>
        </w:tc>
        <w:tc>
          <w:tcPr>
            <w:tcW w:w="1373" w:type="dxa"/>
            <w:vAlign w:val="center"/>
          </w:tcPr>
          <w:p w:rsidR="00176649" w:rsidRPr="00CC3577" w:rsidRDefault="003C4C07" w:rsidP="00CD0AE9">
            <w:pPr>
              <w:jc w:val="center"/>
              <w:rPr>
                <w:sz w:val="20"/>
                <w:szCs w:val="20"/>
              </w:rPr>
            </w:pPr>
            <w:r>
              <w:rPr>
                <w:sz w:val="20"/>
                <w:szCs w:val="20"/>
              </w:rPr>
              <w:t>3</w:t>
            </w:r>
          </w:p>
        </w:tc>
      </w:tr>
      <w:tr w:rsidR="00E26E37" w:rsidRPr="00404595" w:rsidTr="00175501">
        <w:trPr>
          <w:trHeight w:val="241"/>
        </w:trPr>
        <w:tc>
          <w:tcPr>
            <w:tcW w:w="3047" w:type="dxa"/>
            <w:tcBorders>
              <w:bottom w:val="single" w:sz="4" w:space="0" w:color="000000"/>
            </w:tcBorders>
          </w:tcPr>
          <w:p w:rsidR="00E26E37" w:rsidRPr="00110A58" w:rsidRDefault="00E26E37" w:rsidP="00CD0AE9">
            <w:pPr>
              <w:pStyle w:val="Paragraphedeliste"/>
              <w:tabs>
                <w:tab w:val="left" w:pos="284"/>
              </w:tabs>
              <w:autoSpaceDE w:val="0"/>
              <w:autoSpaceDN w:val="0"/>
              <w:adjustRightInd w:val="0"/>
              <w:jc w:val="center"/>
              <w:rPr>
                <w:rFonts w:ascii="Times New Roman" w:hAnsi="Times New Roman"/>
                <w:b/>
                <w:bCs/>
                <w:color w:val="000000"/>
                <w:sz w:val="24"/>
                <w:szCs w:val="24"/>
                <w:lang w:bidi="ar-SA"/>
              </w:rPr>
            </w:pPr>
            <w:r w:rsidRPr="00110A58">
              <w:rPr>
                <w:rFonts w:ascii="Times New Roman" w:hAnsi="Times New Roman"/>
                <w:b/>
                <w:bCs/>
                <w:color w:val="000000"/>
                <w:sz w:val="24"/>
                <w:szCs w:val="24"/>
                <w:lang w:bidi="ar-SA"/>
              </w:rPr>
              <w:t>Total</w:t>
            </w:r>
          </w:p>
        </w:tc>
        <w:tc>
          <w:tcPr>
            <w:tcW w:w="816" w:type="dxa"/>
            <w:tcBorders>
              <w:bottom w:val="single" w:sz="4" w:space="0" w:color="000000"/>
              <w:right w:val="single" w:sz="4" w:space="0" w:color="auto"/>
            </w:tcBorders>
            <w:vAlign w:val="center"/>
          </w:tcPr>
          <w:p w:rsidR="00E26E37" w:rsidRPr="00110A58" w:rsidRDefault="00AD22AD" w:rsidP="00CD0AE9">
            <w:pPr>
              <w:jc w:val="center"/>
              <w:rPr>
                <w:b/>
                <w:bCs/>
                <w:sz w:val="20"/>
                <w:szCs w:val="20"/>
              </w:rPr>
            </w:pPr>
            <w:r>
              <w:rPr>
                <w:b/>
                <w:bCs/>
                <w:sz w:val="20"/>
                <w:szCs w:val="20"/>
              </w:rPr>
              <w:t>63</w:t>
            </w:r>
          </w:p>
        </w:tc>
        <w:tc>
          <w:tcPr>
            <w:tcW w:w="1121" w:type="dxa"/>
            <w:tcBorders>
              <w:left w:val="single" w:sz="4" w:space="0" w:color="auto"/>
              <w:bottom w:val="single" w:sz="4" w:space="0" w:color="000000"/>
              <w:right w:val="single" w:sz="4" w:space="0" w:color="auto"/>
            </w:tcBorders>
            <w:vAlign w:val="center"/>
          </w:tcPr>
          <w:p w:rsidR="00E26E37" w:rsidRPr="00110A58" w:rsidRDefault="004403AB" w:rsidP="00175501">
            <w:pPr>
              <w:jc w:val="center"/>
              <w:rPr>
                <w:b/>
                <w:bCs/>
                <w:sz w:val="20"/>
                <w:szCs w:val="20"/>
              </w:rPr>
            </w:pPr>
            <w:r>
              <w:rPr>
                <w:b/>
                <w:bCs/>
                <w:sz w:val="20"/>
                <w:szCs w:val="20"/>
              </w:rPr>
              <w:t>0</w:t>
            </w:r>
          </w:p>
        </w:tc>
        <w:tc>
          <w:tcPr>
            <w:tcW w:w="1322" w:type="dxa"/>
            <w:tcBorders>
              <w:left w:val="single" w:sz="4" w:space="0" w:color="auto"/>
              <w:bottom w:val="single" w:sz="4" w:space="0" w:color="000000"/>
              <w:right w:val="single" w:sz="4" w:space="0" w:color="auto"/>
            </w:tcBorders>
            <w:vAlign w:val="center"/>
          </w:tcPr>
          <w:p w:rsidR="00E26E37" w:rsidRPr="00110A58" w:rsidRDefault="00E26E37" w:rsidP="00175501">
            <w:pPr>
              <w:jc w:val="center"/>
              <w:rPr>
                <w:b/>
                <w:bCs/>
              </w:rPr>
            </w:pPr>
            <w:r w:rsidRPr="00110A58">
              <w:rPr>
                <w:b/>
                <w:bCs/>
              </w:rPr>
              <w:t>0</w:t>
            </w:r>
          </w:p>
        </w:tc>
        <w:tc>
          <w:tcPr>
            <w:tcW w:w="1609" w:type="dxa"/>
            <w:tcBorders>
              <w:left w:val="single" w:sz="4" w:space="0" w:color="auto"/>
              <w:bottom w:val="single" w:sz="4" w:space="0" w:color="000000"/>
            </w:tcBorders>
            <w:vAlign w:val="center"/>
          </w:tcPr>
          <w:p w:rsidR="00E26E37" w:rsidRPr="00110A58" w:rsidRDefault="00E26E37" w:rsidP="00175501">
            <w:pPr>
              <w:jc w:val="center"/>
              <w:rPr>
                <w:b/>
                <w:bCs/>
              </w:rPr>
            </w:pPr>
            <w:r w:rsidRPr="00110A58">
              <w:rPr>
                <w:b/>
                <w:bCs/>
              </w:rPr>
              <w:t>0</w:t>
            </w:r>
          </w:p>
        </w:tc>
        <w:tc>
          <w:tcPr>
            <w:tcW w:w="1373" w:type="dxa"/>
            <w:tcBorders>
              <w:bottom w:val="single" w:sz="4" w:space="0" w:color="000000"/>
            </w:tcBorders>
            <w:vAlign w:val="center"/>
          </w:tcPr>
          <w:p w:rsidR="00E26E37" w:rsidRPr="00110A58" w:rsidRDefault="003C4C07" w:rsidP="00175501">
            <w:pPr>
              <w:jc w:val="center"/>
              <w:rPr>
                <w:b/>
                <w:bCs/>
              </w:rPr>
            </w:pPr>
            <w:r>
              <w:rPr>
                <w:b/>
                <w:bCs/>
              </w:rPr>
              <w:t>6</w:t>
            </w:r>
          </w:p>
        </w:tc>
      </w:tr>
    </w:tbl>
    <w:p w:rsidR="00E26E37" w:rsidRDefault="00E26E37" w:rsidP="00E26E37">
      <w:pPr>
        <w:autoSpaceDE w:val="0"/>
        <w:autoSpaceDN w:val="0"/>
        <w:adjustRightInd w:val="0"/>
        <w:rPr>
          <w:b/>
          <w:bCs/>
          <w:color w:val="0000FF"/>
          <w:lang w:bidi="ar-SA"/>
        </w:rPr>
      </w:pPr>
    </w:p>
    <w:p w:rsidR="00E26E37" w:rsidRPr="00803DE9" w:rsidRDefault="00E26E37" w:rsidP="00E26E37">
      <w:pPr>
        <w:autoSpaceDE w:val="0"/>
        <w:autoSpaceDN w:val="0"/>
        <w:adjustRightInd w:val="0"/>
        <w:rPr>
          <w:b/>
          <w:bCs/>
          <w:color w:val="0000FF"/>
          <w:lang w:bidi="ar-SA"/>
        </w:rPr>
      </w:pPr>
      <w:r w:rsidRPr="00803DE9">
        <w:rPr>
          <w:b/>
          <w:bCs/>
          <w:color w:val="0000FF"/>
          <w:lang w:bidi="ar-SA"/>
        </w:rPr>
        <w:t xml:space="preserve">3.2- Activités pratiques : </w:t>
      </w:r>
    </w:p>
    <w:tbl>
      <w:tblPr>
        <w:tblW w:w="9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4"/>
        <w:gridCol w:w="1881"/>
        <w:gridCol w:w="1201"/>
        <w:gridCol w:w="1433"/>
        <w:gridCol w:w="856"/>
        <w:gridCol w:w="910"/>
      </w:tblGrid>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Activités Pratiques de l’UE</w:t>
            </w:r>
          </w:p>
        </w:tc>
        <w:tc>
          <w:tcPr>
            <w:tcW w:w="5371" w:type="dxa"/>
            <w:gridSpan w:val="4"/>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Durée </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r w:rsidRPr="00404595">
              <w:rPr>
                <w:rFonts w:ascii="Times New Roman" w:hAnsi="Times New Roman"/>
                <w:color w:val="000000"/>
                <w:sz w:val="24"/>
                <w:szCs w:val="24"/>
                <w:lang w:bidi="ar-SA"/>
              </w:rPr>
              <w:t>Crédits</w:t>
            </w:r>
          </w:p>
        </w:tc>
      </w:tr>
      <w:tr w:rsidR="00E26E37" w:rsidRPr="00404595"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Travaux sur terrain </w:t>
            </w: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Projet</w:t>
            </w: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stage</w:t>
            </w:r>
          </w:p>
        </w:tc>
        <w:tc>
          <w:tcPr>
            <w:tcW w:w="856"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jc w:val="center"/>
              <w:rPr>
                <w:rFonts w:ascii="Times New Roman" w:hAnsi="Times New Roman"/>
                <w:color w:val="000000"/>
                <w:sz w:val="24"/>
                <w:szCs w:val="24"/>
                <w:lang w:bidi="ar-SA"/>
              </w:rPr>
            </w:pPr>
            <w:r w:rsidRPr="00404595">
              <w:rPr>
                <w:rFonts w:ascii="Times New Roman" w:hAnsi="Times New Roman"/>
                <w:color w:val="000000"/>
                <w:sz w:val="24"/>
                <w:szCs w:val="24"/>
                <w:lang w:bidi="ar-SA"/>
              </w:rPr>
              <w:t>Autres</w:t>
            </w:r>
          </w:p>
        </w:tc>
        <w:tc>
          <w:tcPr>
            <w:tcW w:w="910"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0A0628" w:rsidTr="00CD0AE9">
        <w:tc>
          <w:tcPr>
            <w:tcW w:w="3254" w:type="dxa"/>
          </w:tcPr>
          <w:p w:rsidR="00E26E37" w:rsidRPr="00404595" w:rsidRDefault="00E26E37" w:rsidP="00CD0AE9">
            <w:pPr>
              <w:pStyle w:val="Paragraphedeliste"/>
              <w:tabs>
                <w:tab w:val="left" w:pos="284"/>
              </w:tabs>
              <w:autoSpaceDE w:val="0"/>
              <w:autoSpaceDN w:val="0"/>
              <w:adjustRightInd w:val="0"/>
              <w:spacing w:after="0" w:line="240" w:lineRule="auto"/>
              <w:ind w:hanging="720"/>
              <w:rPr>
                <w:rFonts w:ascii="Times New Roman" w:hAnsi="Times New Roman"/>
                <w:color w:val="000000"/>
                <w:sz w:val="24"/>
                <w:szCs w:val="24"/>
                <w:lang w:bidi="ar-SA"/>
              </w:rPr>
            </w:pPr>
            <w:r>
              <w:rPr>
                <w:rFonts w:ascii="Times New Roman" w:hAnsi="Times New Roman"/>
                <w:color w:val="000000"/>
                <w:sz w:val="24"/>
                <w:szCs w:val="24"/>
                <w:lang w:bidi="ar-SA"/>
              </w:rPr>
              <w:t xml:space="preserve">Projet à réaliser par groupe </w:t>
            </w:r>
          </w:p>
        </w:tc>
        <w:tc>
          <w:tcPr>
            <w:tcW w:w="1881" w:type="dxa"/>
            <w:tcBorders>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r w:rsidR="00E26E37" w:rsidRPr="00404595" w:rsidTr="00CD0AE9">
        <w:trPr>
          <w:trHeight w:val="265"/>
        </w:trPr>
        <w:tc>
          <w:tcPr>
            <w:tcW w:w="3254"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rPr>
                <w:rFonts w:ascii="Times New Roman" w:hAnsi="Times New Roman"/>
                <w:color w:val="000000"/>
                <w:sz w:val="24"/>
                <w:szCs w:val="24"/>
                <w:lang w:bidi="ar-SA"/>
              </w:rPr>
            </w:pPr>
            <w:r w:rsidRPr="00404595">
              <w:rPr>
                <w:rFonts w:ascii="Times New Roman" w:hAnsi="Times New Roman"/>
                <w:color w:val="000000"/>
                <w:sz w:val="24"/>
                <w:szCs w:val="24"/>
                <w:lang w:bidi="ar-SA"/>
              </w:rPr>
              <w:t xml:space="preserve">Total </w:t>
            </w:r>
          </w:p>
        </w:tc>
        <w:tc>
          <w:tcPr>
            <w:tcW w:w="1881" w:type="dxa"/>
            <w:tcBorders>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201"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1433" w:type="dxa"/>
            <w:tcBorders>
              <w:left w:val="single" w:sz="4" w:space="0" w:color="auto"/>
              <w:bottom w:val="single" w:sz="4" w:space="0" w:color="000000"/>
              <w:right w:val="single" w:sz="4" w:space="0" w:color="auto"/>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856" w:type="dxa"/>
            <w:tcBorders>
              <w:left w:val="single" w:sz="4" w:space="0" w:color="auto"/>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c>
          <w:tcPr>
            <w:tcW w:w="910" w:type="dxa"/>
            <w:tcBorders>
              <w:bottom w:val="single" w:sz="4" w:space="0" w:color="000000"/>
            </w:tcBorders>
          </w:tcPr>
          <w:p w:rsidR="00E26E37" w:rsidRPr="00404595" w:rsidRDefault="00E26E37" w:rsidP="00CD0AE9">
            <w:pPr>
              <w:pStyle w:val="Paragraphedeliste"/>
              <w:tabs>
                <w:tab w:val="left" w:pos="284"/>
              </w:tabs>
              <w:autoSpaceDE w:val="0"/>
              <w:autoSpaceDN w:val="0"/>
              <w:adjustRightInd w:val="0"/>
              <w:spacing w:after="0" w:line="240" w:lineRule="auto"/>
              <w:ind w:left="0"/>
              <w:rPr>
                <w:rFonts w:ascii="Times New Roman" w:hAnsi="Times New Roman"/>
                <w:color w:val="000000"/>
                <w:sz w:val="24"/>
                <w:szCs w:val="24"/>
                <w:lang w:bidi="ar-SA"/>
              </w:rPr>
            </w:pPr>
          </w:p>
        </w:tc>
      </w:tr>
    </w:tbl>
    <w:p w:rsidR="00E26E37" w:rsidRDefault="00E26E37" w:rsidP="00E26E37">
      <w:pPr>
        <w:autoSpaceDE w:val="0"/>
        <w:autoSpaceDN w:val="0"/>
        <w:adjustRightInd w:val="0"/>
        <w:rPr>
          <w:b/>
          <w:bCs/>
          <w:color w:val="0000FF"/>
          <w:lang w:bidi="ar-SA"/>
        </w:rPr>
      </w:pPr>
    </w:p>
    <w:p w:rsidR="00E26E37" w:rsidRPr="008451B0" w:rsidRDefault="00E26E37" w:rsidP="00E26E37">
      <w:pPr>
        <w:pStyle w:val="Paragraphedeliste"/>
        <w:numPr>
          <w:ilvl w:val="0"/>
          <w:numId w:val="3"/>
        </w:numPr>
        <w:autoSpaceDE w:val="0"/>
        <w:autoSpaceDN w:val="0"/>
        <w:adjustRightInd w:val="0"/>
        <w:spacing w:after="0" w:line="240" w:lineRule="auto"/>
        <w:ind w:left="360"/>
        <w:rPr>
          <w:rFonts w:ascii="Times New Roman" w:hAnsi="Times New Roman"/>
          <w:color w:val="0000FF"/>
          <w:sz w:val="24"/>
          <w:szCs w:val="24"/>
          <w:lang w:bidi="ar-SA"/>
        </w:rPr>
      </w:pPr>
      <w:r w:rsidRPr="008451B0">
        <w:rPr>
          <w:rFonts w:ascii="Times New Roman" w:hAnsi="Times New Roman"/>
          <w:b/>
          <w:bCs/>
          <w:color w:val="0000FF"/>
          <w:sz w:val="24"/>
          <w:szCs w:val="24"/>
          <w:lang w:bidi="ar-SA"/>
        </w:rPr>
        <w:t xml:space="preserve">Contenu </w:t>
      </w:r>
      <w:r w:rsidRPr="008451B0">
        <w:rPr>
          <w:rFonts w:ascii="Times New Roman" w:hAnsi="Times New Roman"/>
          <w:color w:val="0000FF"/>
          <w:sz w:val="24"/>
          <w:szCs w:val="24"/>
          <w:lang w:bidi="ar-SA"/>
        </w:rPr>
        <w:t>(descriptifs et plans des cours)</w:t>
      </w:r>
    </w:p>
    <w:p w:rsidR="00E26E37" w:rsidRPr="008451B0" w:rsidRDefault="00E26E37" w:rsidP="00E26E37">
      <w:pPr>
        <w:pStyle w:val="Paragraphedeliste"/>
        <w:autoSpaceDE w:val="0"/>
        <w:autoSpaceDN w:val="0"/>
        <w:adjustRightInd w:val="0"/>
        <w:spacing w:after="0" w:line="240" w:lineRule="auto"/>
        <w:rPr>
          <w:rFonts w:ascii="Times New Roman" w:hAnsi="Times New Roman"/>
          <w:color w:val="000000"/>
          <w:sz w:val="20"/>
          <w:szCs w:val="20"/>
          <w:lang w:bidi="ar-SA"/>
        </w:rPr>
      </w:pPr>
    </w:p>
    <w:p w:rsidR="00E26E37" w:rsidRDefault="00E26E37" w:rsidP="00E26E37">
      <w:pPr>
        <w:autoSpaceDE w:val="0"/>
        <w:autoSpaceDN w:val="0"/>
        <w:adjustRightInd w:val="0"/>
        <w:rPr>
          <w:rFonts w:eastAsia="Rockwell"/>
          <w:color w:val="000000"/>
          <w:sz w:val="20"/>
          <w:szCs w:val="20"/>
          <w:lang w:bidi="ar-SA"/>
        </w:rPr>
      </w:pPr>
      <w:r>
        <w:rPr>
          <w:color w:val="000000"/>
          <w:sz w:val="20"/>
          <w:szCs w:val="20"/>
          <w:lang w:bidi="ar-SA"/>
        </w:rPr>
        <w:t xml:space="preserve"> </w:t>
      </w:r>
      <w:r>
        <w:rPr>
          <w:rFonts w:eastAsia="Rockwell"/>
          <w:b/>
          <w:bCs/>
          <w:color w:val="810000"/>
          <w:lang w:bidi="ar-SA"/>
        </w:rPr>
        <w:t xml:space="preserve">4.1- Enseignements </w:t>
      </w:r>
      <w:r>
        <w:rPr>
          <w:rFonts w:eastAsia="Rockwell"/>
          <w:color w:val="810000"/>
          <w:lang w:bidi="ar-SA"/>
        </w:rPr>
        <w:t>(Présenter une description succincte des programmes de chaque ECUE et joindre le programme détaillé à la fiche descriptive de l’UE)</w:t>
      </w:r>
    </w:p>
    <w:p w:rsidR="00E26E37" w:rsidRPr="00803DE9" w:rsidRDefault="00E26E37" w:rsidP="00E26E37">
      <w:pPr>
        <w:autoSpaceDE w:val="0"/>
        <w:autoSpaceDN w:val="0"/>
        <w:adjustRightInd w:val="0"/>
        <w:rPr>
          <w:rFonts w:eastAsia="Rockwell"/>
          <w:color w:val="000000"/>
          <w:sz w:val="20"/>
          <w:szCs w:val="20"/>
          <w:lang w:bidi="ar-SA"/>
        </w:rPr>
      </w:pPr>
    </w:p>
    <w:p w:rsidR="00E26E37" w:rsidRDefault="00E26E37" w:rsidP="00176649">
      <w:pPr>
        <w:pStyle w:val="texteifgp2"/>
        <w:pBdr>
          <w:top w:val="single" w:sz="4" w:space="1" w:color="auto"/>
          <w:left w:val="single" w:sz="4" w:space="4" w:color="auto"/>
          <w:bottom w:val="single" w:sz="4" w:space="1" w:color="auto"/>
          <w:right w:val="single" w:sz="4" w:space="4" w:color="auto"/>
        </w:pBdr>
        <w:spacing w:before="0" w:beforeAutospacing="0" w:after="0" w:afterAutospacing="0"/>
        <w:rPr>
          <w:lang w:val="fr-CA"/>
        </w:rPr>
      </w:pPr>
      <w:r w:rsidRPr="007E3DA7">
        <w:rPr>
          <w:lang w:val="fr-CA"/>
        </w:rPr>
        <w:t> </w:t>
      </w:r>
      <w:r>
        <w:rPr>
          <w:lang w:val="fr-CA"/>
        </w:rPr>
        <w:t xml:space="preserve">L’unité concepts de base de management intègre </w:t>
      </w:r>
      <w:r w:rsidR="00176649">
        <w:rPr>
          <w:lang w:val="fr-CA"/>
        </w:rPr>
        <w:t>deux</w:t>
      </w:r>
      <w:r>
        <w:rPr>
          <w:lang w:val="fr-CA"/>
        </w:rPr>
        <w:t xml:space="preserve"> modules à savoir :</w:t>
      </w:r>
    </w:p>
    <w:p w:rsidR="004403AB" w:rsidRPr="009F7183" w:rsidRDefault="00176649" w:rsidP="009F7183">
      <w:pPr>
        <w:pStyle w:val="texteifgp2"/>
        <w:pBdr>
          <w:top w:val="single" w:sz="4" w:space="1" w:color="auto"/>
          <w:left w:val="single" w:sz="4" w:space="4" w:color="auto"/>
          <w:bottom w:val="single" w:sz="4" w:space="1" w:color="auto"/>
          <w:right w:val="single" w:sz="4" w:space="4" w:color="auto"/>
        </w:pBdr>
        <w:spacing w:before="0" w:beforeAutospacing="0" w:after="0" w:afterAutospacing="0"/>
        <w:rPr>
          <w:sz w:val="32"/>
          <w:szCs w:val="32"/>
        </w:rPr>
      </w:pPr>
      <w:r w:rsidRPr="009F7183">
        <w:rPr>
          <w:sz w:val="22"/>
          <w:szCs w:val="22"/>
        </w:rPr>
        <w:t>Les communautés virtuelles (</w:t>
      </w:r>
      <w:proofErr w:type="spellStart"/>
      <w:r w:rsidRPr="009F7183">
        <w:rPr>
          <w:sz w:val="22"/>
          <w:szCs w:val="22"/>
        </w:rPr>
        <w:t>community</w:t>
      </w:r>
      <w:proofErr w:type="spellEnd"/>
      <w:r w:rsidRPr="009F7183">
        <w:rPr>
          <w:sz w:val="22"/>
          <w:szCs w:val="22"/>
        </w:rPr>
        <w:t xml:space="preserve"> </w:t>
      </w:r>
      <w:proofErr w:type="gramStart"/>
      <w:r w:rsidRPr="009F7183">
        <w:rPr>
          <w:sz w:val="22"/>
          <w:szCs w:val="22"/>
        </w:rPr>
        <w:t>management )</w:t>
      </w:r>
      <w:proofErr w:type="gramEnd"/>
      <w:r w:rsidR="009F7183">
        <w:rPr>
          <w:sz w:val="22"/>
          <w:szCs w:val="22"/>
        </w:rPr>
        <w:t xml:space="preserve"> et </w:t>
      </w:r>
      <w:r w:rsidR="003C4C07" w:rsidRPr="009F7183">
        <w:rPr>
          <w:sz w:val="22"/>
          <w:szCs w:val="22"/>
        </w:rPr>
        <w:t>Techniques de communication</w:t>
      </w:r>
    </w:p>
    <w:p w:rsidR="00E26E37" w:rsidRDefault="00E26E37" w:rsidP="00E26E37">
      <w:pPr>
        <w:autoSpaceDE w:val="0"/>
        <w:autoSpaceDN w:val="0"/>
        <w:adjustRightInd w:val="0"/>
        <w:rPr>
          <w:rFonts w:eastAsia="Rockwell"/>
          <w:color w:val="810000"/>
          <w:lang w:bidi="ar-SA"/>
        </w:rPr>
      </w:pPr>
      <w:r>
        <w:rPr>
          <w:rFonts w:eastAsia="Rockwell"/>
          <w:b/>
          <w:bCs/>
          <w:color w:val="810000"/>
          <w:lang w:bidi="ar-SA"/>
        </w:rPr>
        <w:lastRenderedPageBreak/>
        <w:t xml:space="preserve">4.2- Activités pratiques de l’UE </w:t>
      </w:r>
      <w:r>
        <w:rPr>
          <w:rFonts w:eastAsia="Rockwell"/>
          <w:color w:val="810000"/>
          <w:lang w:bidi="ar-SA"/>
        </w:rPr>
        <w:t>(Présenter une description succincte des objectifs, des contenus et des procédures d’organisation de chaque activité)</w:t>
      </w:r>
    </w:p>
    <w:p w:rsidR="00E26E37" w:rsidRDefault="00E26E37" w:rsidP="00E26E37">
      <w:pPr>
        <w:autoSpaceDE w:val="0"/>
        <w:autoSpaceDN w:val="0"/>
        <w:adjustRightInd w:val="0"/>
        <w:rPr>
          <w:rFonts w:eastAsia="Rockwell"/>
          <w:color w:val="000000"/>
          <w:sz w:val="20"/>
          <w:szCs w:val="20"/>
          <w:lang w:bidi="ar-SA"/>
        </w:rPr>
      </w:pPr>
    </w:p>
    <w:p w:rsidR="00E26E37" w:rsidRPr="000B5171" w:rsidRDefault="00E26E37" w:rsidP="00176649">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hAnsi="Times New Roman"/>
          <w:sz w:val="24"/>
          <w:szCs w:val="24"/>
        </w:rPr>
      </w:pPr>
      <w:r w:rsidRPr="000B5171">
        <w:rPr>
          <w:rFonts w:ascii="Times New Roman" w:eastAsia="Rockwell" w:hAnsi="Times New Roman"/>
          <w:color w:val="000000"/>
          <w:sz w:val="24"/>
          <w:szCs w:val="24"/>
          <w:lang w:bidi="ar-SA"/>
        </w:rPr>
        <w:t>Ce cours est basé sur des études de cas problématique</w:t>
      </w:r>
      <w:r w:rsidR="009F7183">
        <w:rPr>
          <w:rFonts w:ascii="Times New Roman" w:eastAsia="Rockwell" w:hAnsi="Times New Roman"/>
          <w:color w:val="000000"/>
          <w:sz w:val="24"/>
          <w:szCs w:val="24"/>
          <w:lang w:bidi="ar-SA"/>
        </w:rPr>
        <w:t>s</w:t>
      </w:r>
      <w:r w:rsidRPr="000B5171">
        <w:rPr>
          <w:rFonts w:ascii="Times New Roman" w:eastAsia="Rockwell" w:hAnsi="Times New Roman"/>
          <w:color w:val="000000"/>
          <w:sz w:val="24"/>
          <w:szCs w:val="24"/>
          <w:lang w:bidi="ar-SA"/>
        </w:rPr>
        <w:t xml:space="preserve"> portant sur des aspects divers de la </w:t>
      </w:r>
      <w:r w:rsidR="00176649">
        <w:rPr>
          <w:rFonts w:ascii="Times New Roman" w:eastAsia="Rockwell" w:hAnsi="Times New Roman"/>
          <w:color w:val="000000"/>
          <w:sz w:val="24"/>
          <w:szCs w:val="24"/>
          <w:lang w:bidi="ar-SA"/>
        </w:rPr>
        <w:t>communauté virtuelle</w:t>
      </w:r>
      <w:r w:rsidR="003C4C07">
        <w:rPr>
          <w:rFonts w:ascii="Times New Roman" w:eastAsia="Rockwell" w:hAnsi="Times New Roman"/>
          <w:color w:val="000000"/>
          <w:sz w:val="24"/>
          <w:szCs w:val="24"/>
          <w:lang w:bidi="ar-SA"/>
        </w:rPr>
        <w:t xml:space="preserve"> et techniques de communication.</w:t>
      </w:r>
    </w:p>
    <w:p w:rsidR="00E26E37" w:rsidRPr="00D36369" w:rsidRDefault="00E26E37" w:rsidP="00E26E37">
      <w:pPr>
        <w:pStyle w:val="Paragraphedeliste"/>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Times New Roman" w:eastAsia="Rockwell" w:hAnsi="Times New Roman"/>
          <w:color w:val="0000FF"/>
          <w:sz w:val="24"/>
          <w:szCs w:val="24"/>
          <w:lang w:bidi="ar-SA"/>
        </w:rPr>
      </w:pPr>
    </w:p>
    <w:p w:rsidR="00E26E37" w:rsidRDefault="00E26E37" w:rsidP="00E26E37">
      <w:pPr>
        <w:pStyle w:val="Paragraphedeliste"/>
        <w:numPr>
          <w:ilvl w:val="0"/>
          <w:numId w:val="3"/>
        </w:numPr>
        <w:autoSpaceDE w:val="0"/>
        <w:autoSpaceDN w:val="0"/>
        <w:adjustRightInd w:val="0"/>
        <w:spacing w:after="0" w:line="240" w:lineRule="auto"/>
        <w:ind w:left="284" w:hanging="284"/>
        <w:rPr>
          <w:rFonts w:ascii="Times New Roman" w:eastAsia="Rockwell" w:hAnsi="Times New Roman"/>
          <w:color w:val="0000FF"/>
          <w:sz w:val="24"/>
          <w:szCs w:val="24"/>
          <w:lang w:bidi="ar-SA"/>
        </w:rPr>
      </w:pPr>
      <w:r w:rsidRPr="00803DE9">
        <w:rPr>
          <w:rFonts w:ascii="Times New Roman" w:eastAsia="Rockwell" w:hAnsi="Times New Roman"/>
          <w:b/>
          <w:bCs/>
          <w:color w:val="0000FF"/>
          <w:sz w:val="24"/>
          <w:szCs w:val="24"/>
          <w:lang w:bidi="ar-SA"/>
        </w:rPr>
        <w:t xml:space="preserve">Méthodes pédagogiques et moyens didactiques spécifiques à l’UE </w:t>
      </w:r>
      <w:r w:rsidRPr="00803DE9">
        <w:rPr>
          <w:rFonts w:ascii="Times New Roman" w:eastAsia="Rockwell" w:hAnsi="Times New Roman"/>
          <w:color w:val="0000FF"/>
          <w:sz w:val="24"/>
          <w:szCs w:val="24"/>
          <w:lang w:bidi="ar-SA"/>
        </w:rPr>
        <w:t>(méthodes et outils pédagogiques, ouvrages de référence, recours aux TIC – possibilités d’enseignement à distance…)</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 xml:space="preserve">1- </w:t>
      </w:r>
      <w:r>
        <w:rPr>
          <w:lang w:bidi="ar-SA"/>
        </w:rPr>
        <w:t xml:space="preserve">Présentation théorique : Powerpoint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lang w:bidi="ar-SA"/>
        </w:rPr>
      </w:pPr>
      <w:r w:rsidRPr="00803DE9">
        <w:rPr>
          <w:lang w:bidi="ar-SA"/>
        </w:rPr>
        <w:t xml:space="preserve">2- </w:t>
      </w:r>
      <w:r>
        <w:rPr>
          <w:lang w:bidi="ar-SA"/>
        </w:rPr>
        <w:t xml:space="preserve">Exercices </w:t>
      </w:r>
    </w:p>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0000FF"/>
          <w:lang w:bidi="ar-SA"/>
        </w:rPr>
      </w:pPr>
      <w:r>
        <w:rPr>
          <w:rFonts w:eastAsia="Rockwell"/>
          <w:b/>
          <w:bCs/>
          <w:color w:val="0000FF"/>
          <w:lang w:bidi="ar-SA"/>
        </w:rPr>
        <w:t>6- Examens et évaluation des connaissances</w:t>
      </w: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6.1- Méthode d’évaluation et régime d’examens </w:t>
      </w:r>
      <w:r>
        <w:rPr>
          <w:rFonts w:eastAsia="Rockwell"/>
          <w:color w:val="810000"/>
          <w:lang w:bidi="ar-SA"/>
        </w:rPr>
        <w:t>(Préciser le régime d’évaluation préconisé : contrôle continu uniquement ou, régime mixte c.à.d. contrôle continue et examens finaux)</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xml:space="preserve">- </w:t>
      </w:r>
      <w:r>
        <w:rPr>
          <w:lang w:bidi="ar-SA"/>
        </w:rPr>
        <w:t xml:space="preserve">Régime Mixte </w:t>
      </w:r>
    </w:p>
    <w:p w:rsidR="00E26E37"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 xml:space="preserve">6.2 - Validation de l’UE </w:t>
      </w:r>
      <w:r>
        <w:rPr>
          <w:rFonts w:eastAsia="Rockwell"/>
          <w:color w:val="810000"/>
          <w:lang w:bidi="ar-SA"/>
        </w:rPr>
        <w:t>(préciser les poids des épreuves d’examens pour le calcul de la moyenne de l’ECUE, les coefficients des ECUE et le coefficient de l’UE au sein du parcours).</w:t>
      </w:r>
    </w:p>
    <w:p w:rsidR="00E26E37" w:rsidRDefault="00E26E37" w:rsidP="00E26E37">
      <w:pPr>
        <w:autoSpaceDE w:val="0"/>
        <w:autoSpaceDN w:val="0"/>
        <w:adjustRightInd w:val="0"/>
        <w:rPr>
          <w:rFonts w:eastAsia="Rockwell"/>
          <w:color w:val="0000FF"/>
          <w:lang w:bidi="ar-SA"/>
        </w:rPr>
      </w:pPr>
    </w:p>
    <w:tbl>
      <w:tblPr>
        <w:tblW w:w="10594" w:type="dxa"/>
        <w:tblInd w:w="-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50"/>
        <w:gridCol w:w="656"/>
        <w:gridCol w:w="572"/>
        <w:gridCol w:w="656"/>
        <w:gridCol w:w="1376"/>
        <w:gridCol w:w="776"/>
        <w:gridCol w:w="572"/>
        <w:gridCol w:w="694"/>
        <w:gridCol w:w="1376"/>
        <w:gridCol w:w="861"/>
        <w:gridCol w:w="905"/>
      </w:tblGrid>
      <w:tr w:rsidR="00E26E37" w:rsidRPr="000A0628" w:rsidTr="00E26E37">
        <w:tc>
          <w:tcPr>
            <w:tcW w:w="2150" w:type="dxa"/>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ECE</w:t>
            </w:r>
          </w:p>
        </w:tc>
        <w:tc>
          <w:tcPr>
            <w:tcW w:w="3260" w:type="dxa"/>
            <w:gridSpan w:val="4"/>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Contrôle Continu  </w:t>
            </w:r>
          </w:p>
        </w:tc>
        <w:tc>
          <w:tcPr>
            <w:tcW w:w="3418" w:type="dxa"/>
            <w:gridSpan w:val="4"/>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Examen final </w:t>
            </w:r>
          </w:p>
        </w:tc>
        <w:tc>
          <w:tcPr>
            <w:tcW w:w="861"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l’ECUE</w:t>
            </w:r>
          </w:p>
        </w:tc>
        <w:tc>
          <w:tcPr>
            <w:tcW w:w="905"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Coef</w:t>
            </w:r>
            <w:proofErr w:type="spellEnd"/>
            <w:r w:rsidRPr="00404595">
              <w:rPr>
                <w:rFonts w:eastAsia="Rockwell"/>
                <w:sz w:val="20"/>
                <w:szCs w:val="20"/>
                <w:lang w:bidi="ar-SA"/>
              </w:rPr>
              <w:t xml:space="preserve"> de l’UE au sein du parcours</w:t>
            </w:r>
          </w:p>
        </w:tc>
      </w:tr>
      <w:tr w:rsidR="00E26E37" w:rsidRPr="00404595" w:rsidTr="00E26E37">
        <w:tc>
          <w:tcPr>
            <w:tcW w:w="2150" w:type="dxa"/>
          </w:tcPr>
          <w:p w:rsidR="00E26E37" w:rsidRPr="00404595" w:rsidRDefault="00E26E37" w:rsidP="00CD0AE9">
            <w:pPr>
              <w:autoSpaceDE w:val="0"/>
              <w:autoSpaceDN w:val="0"/>
              <w:adjustRightInd w:val="0"/>
              <w:rPr>
                <w:rFonts w:eastAsia="Rockwell"/>
                <w:lang w:bidi="ar-SA"/>
              </w:rPr>
            </w:pPr>
          </w:p>
        </w:tc>
        <w:tc>
          <w:tcPr>
            <w:tcW w:w="1884"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2042" w:type="dxa"/>
            <w:gridSpan w:val="3"/>
            <w:tcBorders>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Epreuves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r w:rsidRPr="00404595">
              <w:rPr>
                <w:rFonts w:eastAsia="Rockwell"/>
                <w:lang w:bidi="ar-SA"/>
              </w:rPr>
              <w:t>Pondération</w:t>
            </w: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lang w:bidi="ar-SA"/>
              </w:rPr>
            </w:pPr>
          </w:p>
        </w:tc>
        <w:tc>
          <w:tcPr>
            <w:tcW w:w="905" w:type="dxa"/>
            <w:vMerge w:val="restart"/>
            <w:tcBorders>
              <w:left w:val="single" w:sz="4" w:space="0" w:color="auto"/>
            </w:tcBorders>
            <w:vAlign w:val="center"/>
          </w:tcPr>
          <w:p w:rsidR="00E26E37" w:rsidRPr="00404595" w:rsidRDefault="00176649" w:rsidP="00CD0AE9">
            <w:pPr>
              <w:autoSpaceDE w:val="0"/>
              <w:autoSpaceDN w:val="0"/>
              <w:adjustRightInd w:val="0"/>
              <w:jc w:val="center"/>
              <w:rPr>
                <w:rFonts w:eastAsia="Rockwell"/>
                <w:lang w:bidi="ar-SA"/>
              </w:rPr>
            </w:pPr>
            <w:r>
              <w:rPr>
                <w:rFonts w:eastAsia="Rockwell"/>
                <w:lang w:bidi="ar-SA"/>
              </w:rPr>
              <w:t>4</w:t>
            </w:r>
          </w:p>
        </w:tc>
      </w:tr>
      <w:tr w:rsidR="00E26E37" w:rsidRPr="00404595" w:rsidTr="00E26E37">
        <w:tc>
          <w:tcPr>
            <w:tcW w:w="2150" w:type="dxa"/>
          </w:tcPr>
          <w:p w:rsidR="00E26E37" w:rsidRPr="00404595" w:rsidRDefault="00E26E37" w:rsidP="00CD0AE9">
            <w:pPr>
              <w:autoSpaceDE w:val="0"/>
              <w:autoSpaceDN w:val="0"/>
              <w:adjustRightInd w:val="0"/>
              <w:rPr>
                <w:rFonts w:eastAsia="Rockwell"/>
                <w:color w:val="0000FF"/>
                <w:lang w:bidi="ar-SA"/>
              </w:rPr>
            </w:pPr>
          </w:p>
        </w:tc>
        <w:tc>
          <w:tcPr>
            <w:tcW w:w="65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Oral </w:t>
            </w:r>
          </w:p>
        </w:tc>
        <w:tc>
          <w:tcPr>
            <w:tcW w:w="65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TP et autre</w:t>
            </w:r>
          </w:p>
        </w:tc>
        <w:tc>
          <w:tcPr>
            <w:tcW w:w="1376" w:type="dxa"/>
            <w:tcBorders>
              <w:left w:val="single" w:sz="4" w:space="0" w:color="auto"/>
            </w:tcBorders>
          </w:tcPr>
          <w:p w:rsidR="00E26E37" w:rsidRPr="00404595" w:rsidRDefault="00E26E37" w:rsidP="00CD0AE9">
            <w:pPr>
              <w:autoSpaceDE w:val="0"/>
              <w:autoSpaceDN w:val="0"/>
              <w:adjustRightInd w:val="0"/>
              <w:rPr>
                <w:rFonts w:eastAsia="Rockwell"/>
                <w:sz w:val="20"/>
                <w:szCs w:val="20"/>
                <w:lang w:bidi="ar-SA"/>
              </w:rPr>
            </w:pPr>
          </w:p>
        </w:tc>
        <w:tc>
          <w:tcPr>
            <w:tcW w:w="776"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 xml:space="preserve">Ecrit </w:t>
            </w:r>
          </w:p>
        </w:tc>
        <w:tc>
          <w:tcPr>
            <w:tcW w:w="572"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r w:rsidRPr="00404595">
              <w:rPr>
                <w:rFonts w:eastAsia="Rockwell"/>
                <w:sz w:val="20"/>
                <w:szCs w:val="20"/>
                <w:lang w:bidi="ar-SA"/>
              </w:rPr>
              <w:t>Oral</w:t>
            </w:r>
          </w:p>
        </w:tc>
        <w:tc>
          <w:tcPr>
            <w:tcW w:w="694" w:type="dxa"/>
            <w:tcBorders>
              <w:right w:val="single" w:sz="4" w:space="0" w:color="auto"/>
            </w:tcBorders>
          </w:tcPr>
          <w:p w:rsidR="00E26E37" w:rsidRPr="00404595" w:rsidRDefault="00E26E37" w:rsidP="00CD0AE9">
            <w:pPr>
              <w:autoSpaceDE w:val="0"/>
              <w:autoSpaceDN w:val="0"/>
              <w:adjustRightInd w:val="0"/>
              <w:rPr>
                <w:rFonts w:eastAsia="Rockwell"/>
                <w:sz w:val="20"/>
                <w:szCs w:val="20"/>
                <w:lang w:bidi="ar-SA"/>
              </w:rPr>
            </w:pPr>
            <w:proofErr w:type="spellStart"/>
            <w:r w:rsidRPr="00404595">
              <w:rPr>
                <w:rFonts w:eastAsia="Rockwell"/>
                <w:sz w:val="20"/>
                <w:szCs w:val="20"/>
                <w:lang w:bidi="ar-SA"/>
              </w:rPr>
              <w:t>Tp</w:t>
            </w:r>
            <w:proofErr w:type="spellEnd"/>
            <w:r w:rsidRPr="00404595">
              <w:rPr>
                <w:rFonts w:eastAsia="Rockwell"/>
                <w:sz w:val="20"/>
                <w:szCs w:val="20"/>
                <w:lang w:bidi="ar-SA"/>
              </w:rPr>
              <w:t xml:space="preserve"> et autres</w:t>
            </w:r>
          </w:p>
        </w:tc>
        <w:tc>
          <w:tcPr>
            <w:tcW w:w="1376"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861" w:type="dxa"/>
            <w:tcBorders>
              <w:left w:val="single" w:sz="4" w:space="0" w:color="auto"/>
              <w:right w:val="single" w:sz="4" w:space="0" w:color="auto"/>
            </w:tcBorders>
          </w:tcPr>
          <w:p w:rsidR="00E26E37" w:rsidRPr="00404595" w:rsidRDefault="00E26E37" w:rsidP="00CD0AE9">
            <w:pPr>
              <w:autoSpaceDE w:val="0"/>
              <w:autoSpaceDN w:val="0"/>
              <w:adjustRightInd w:val="0"/>
              <w:rPr>
                <w:rFonts w:eastAsia="Rockwell"/>
                <w:color w:val="0000FF"/>
                <w:lang w:bidi="ar-SA"/>
              </w:rPr>
            </w:pPr>
          </w:p>
        </w:tc>
        <w:tc>
          <w:tcPr>
            <w:tcW w:w="905" w:type="dxa"/>
            <w:vMerge/>
            <w:tcBorders>
              <w:left w:val="single" w:sz="4" w:space="0" w:color="auto"/>
            </w:tcBorders>
          </w:tcPr>
          <w:p w:rsidR="00E26E37" w:rsidRPr="00404595" w:rsidRDefault="00E26E37" w:rsidP="00CD0AE9">
            <w:pPr>
              <w:autoSpaceDE w:val="0"/>
              <w:autoSpaceDN w:val="0"/>
              <w:adjustRightInd w:val="0"/>
              <w:rPr>
                <w:rFonts w:eastAsia="Rockwell"/>
                <w:color w:val="0000FF"/>
                <w:lang w:bidi="ar-SA"/>
              </w:rPr>
            </w:pPr>
          </w:p>
        </w:tc>
      </w:tr>
      <w:tr w:rsidR="003C4C07" w:rsidRPr="00404595" w:rsidTr="00C05351">
        <w:trPr>
          <w:trHeight w:val="835"/>
        </w:trPr>
        <w:tc>
          <w:tcPr>
            <w:tcW w:w="2150" w:type="dxa"/>
            <w:vAlign w:val="center"/>
          </w:tcPr>
          <w:p w:rsidR="003C4C07" w:rsidRPr="008263CA" w:rsidRDefault="003C4C07" w:rsidP="00223708">
            <w:pPr>
              <w:pStyle w:val="Contenudetableau"/>
              <w:snapToGrid w:val="0"/>
              <w:jc w:val="center"/>
              <w:rPr>
                <w:sz w:val="18"/>
                <w:szCs w:val="18"/>
              </w:rPr>
            </w:pPr>
            <w:r w:rsidRPr="003C4C07">
              <w:rPr>
                <w:rFonts w:cs="Times New Roman"/>
                <w:sz w:val="18"/>
                <w:szCs w:val="18"/>
              </w:rPr>
              <w:t>Management des communautés virtuelles</w:t>
            </w:r>
          </w:p>
        </w:tc>
        <w:tc>
          <w:tcPr>
            <w:tcW w:w="656"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3C4C07" w:rsidRPr="00404595" w:rsidRDefault="003C4C07" w:rsidP="00CD0AE9">
            <w:pPr>
              <w:autoSpaceDE w:val="0"/>
              <w:autoSpaceDN w:val="0"/>
              <w:adjustRightInd w:val="0"/>
              <w:rPr>
                <w:rFonts w:eastAsia="Rockwell"/>
                <w:color w:val="0000FF"/>
                <w:lang w:bidi="ar-SA"/>
              </w:rPr>
            </w:pPr>
          </w:p>
        </w:tc>
      </w:tr>
      <w:tr w:rsidR="003C4C07" w:rsidRPr="00404595" w:rsidTr="00C05351">
        <w:trPr>
          <w:trHeight w:val="835"/>
        </w:trPr>
        <w:tc>
          <w:tcPr>
            <w:tcW w:w="2150" w:type="dxa"/>
            <w:vAlign w:val="center"/>
          </w:tcPr>
          <w:p w:rsidR="003C4C07" w:rsidRPr="008263CA" w:rsidRDefault="003C4C07" w:rsidP="00223708">
            <w:pPr>
              <w:pStyle w:val="Contenudetableau"/>
              <w:snapToGrid w:val="0"/>
              <w:jc w:val="center"/>
              <w:rPr>
                <w:rFonts w:cs="Times New Roman"/>
                <w:sz w:val="18"/>
                <w:szCs w:val="18"/>
              </w:rPr>
            </w:pPr>
            <w:r>
              <w:rPr>
                <w:rFonts w:cs="Times New Roman"/>
                <w:sz w:val="18"/>
                <w:szCs w:val="18"/>
              </w:rPr>
              <w:t>Techniques de communication</w:t>
            </w:r>
          </w:p>
        </w:tc>
        <w:tc>
          <w:tcPr>
            <w:tcW w:w="656"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70%</w:t>
            </w:r>
          </w:p>
        </w:tc>
        <w:tc>
          <w:tcPr>
            <w:tcW w:w="572"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656"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30%</w:t>
            </w:r>
          </w:p>
        </w:tc>
        <w:tc>
          <w:tcPr>
            <w:tcW w:w="1376" w:type="dxa"/>
            <w:tcBorders>
              <w:lef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3</w:t>
            </w:r>
            <w:r w:rsidRPr="00511E67">
              <w:rPr>
                <w:rFonts w:eastAsia="Rockwell"/>
                <w:lang w:bidi="ar-SA"/>
              </w:rPr>
              <w:t>0%</w:t>
            </w:r>
          </w:p>
        </w:tc>
        <w:tc>
          <w:tcPr>
            <w:tcW w:w="776"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sidRPr="00511E67">
              <w:rPr>
                <w:rFonts w:eastAsia="Rockwell"/>
                <w:lang w:bidi="ar-SA"/>
              </w:rPr>
              <w:t>100%</w:t>
            </w:r>
          </w:p>
        </w:tc>
        <w:tc>
          <w:tcPr>
            <w:tcW w:w="572"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694" w:type="dxa"/>
            <w:tcBorders>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p>
        </w:tc>
        <w:tc>
          <w:tcPr>
            <w:tcW w:w="1376"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7</w:t>
            </w:r>
            <w:r w:rsidRPr="00511E67">
              <w:rPr>
                <w:rFonts w:eastAsia="Rockwell"/>
                <w:lang w:bidi="ar-SA"/>
              </w:rPr>
              <w:t>0%</w:t>
            </w:r>
          </w:p>
        </w:tc>
        <w:tc>
          <w:tcPr>
            <w:tcW w:w="861" w:type="dxa"/>
            <w:tcBorders>
              <w:left w:val="single" w:sz="4" w:space="0" w:color="auto"/>
              <w:right w:val="single" w:sz="4" w:space="0" w:color="auto"/>
            </w:tcBorders>
            <w:vAlign w:val="center"/>
          </w:tcPr>
          <w:p w:rsidR="003C4C07" w:rsidRPr="00511E67" w:rsidRDefault="003C4C07" w:rsidP="00CD0AE9">
            <w:pPr>
              <w:autoSpaceDE w:val="0"/>
              <w:autoSpaceDN w:val="0"/>
              <w:adjustRightInd w:val="0"/>
              <w:jc w:val="center"/>
              <w:rPr>
                <w:rFonts w:eastAsia="Rockwell"/>
                <w:lang w:bidi="ar-SA"/>
              </w:rPr>
            </w:pPr>
            <w:r>
              <w:rPr>
                <w:rFonts w:eastAsia="Rockwell"/>
                <w:lang w:bidi="ar-SA"/>
              </w:rPr>
              <w:t>2</w:t>
            </w:r>
          </w:p>
        </w:tc>
        <w:tc>
          <w:tcPr>
            <w:tcW w:w="905" w:type="dxa"/>
            <w:vMerge/>
            <w:tcBorders>
              <w:left w:val="single" w:sz="4" w:space="0" w:color="auto"/>
            </w:tcBorders>
          </w:tcPr>
          <w:p w:rsidR="003C4C07" w:rsidRPr="00404595" w:rsidRDefault="003C4C07" w:rsidP="00CD0AE9">
            <w:pPr>
              <w:autoSpaceDE w:val="0"/>
              <w:autoSpaceDN w:val="0"/>
              <w:adjustRightInd w:val="0"/>
              <w:rPr>
                <w:rFonts w:eastAsia="Rockwell"/>
                <w:color w:val="0000FF"/>
                <w:lang w:bidi="ar-SA"/>
              </w:rPr>
            </w:pPr>
          </w:p>
        </w:tc>
      </w:tr>
    </w:tbl>
    <w:p w:rsidR="00E26E37" w:rsidRDefault="00E26E37" w:rsidP="00E26E37">
      <w:pPr>
        <w:autoSpaceDE w:val="0"/>
        <w:autoSpaceDN w:val="0"/>
        <w:adjustRightInd w:val="0"/>
        <w:rPr>
          <w:rFonts w:eastAsia="Rockwell"/>
          <w:color w:val="0000FF"/>
          <w:lang w:bidi="ar-SA"/>
        </w:rPr>
      </w:pPr>
    </w:p>
    <w:p w:rsidR="00E26E37" w:rsidRDefault="00E26E37" w:rsidP="00E26E37">
      <w:pPr>
        <w:autoSpaceDE w:val="0"/>
        <w:autoSpaceDN w:val="0"/>
        <w:adjustRightInd w:val="0"/>
        <w:rPr>
          <w:rFonts w:eastAsia="Rockwell"/>
          <w:b/>
          <w:bCs/>
          <w:color w:val="810000"/>
          <w:lang w:bidi="ar-SA"/>
        </w:rPr>
      </w:pPr>
    </w:p>
    <w:p w:rsidR="00E26E37" w:rsidRDefault="00E26E37" w:rsidP="00E26E37">
      <w:pPr>
        <w:autoSpaceDE w:val="0"/>
        <w:autoSpaceDN w:val="0"/>
        <w:adjustRightInd w:val="0"/>
        <w:rPr>
          <w:rFonts w:eastAsia="Rockwell"/>
          <w:color w:val="000000"/>
          <w:sz w:val="20"/>
          <w:szCs w:val="20"/>
          <w:lang w:bidi="ar-SA"/>
        </w:rPr>
      </w:pPr>
      <w:r>
        <w:rPr>
          <w:rFonts w:eastAsia="Rockwell"/>
          <w:b/>
          <w:bCs/>
          <w:color w:val="810000"/>
          <w:lang w:bidi="ar-SA"/>
        </w:rPr>
        <w:t>6.3 - Validation des stages et des projets…..</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Pr>
          <w:lang w:bidi="ar-SA"/>
        </w:rPr>
        <w:t>1</w:t>
      </w:r>
      <w:r w:rsidRPr="00803DE9">
        <w:rPr>
          <w:lang w:bidi="ar-SA"/>
        </w:rPr>
        <w:t>- …………………………………………………………….</w:t>
      </w:r>
    </w:p>
    <w:p w:rsidR="00E26E37" w:rsidRPr="00803DE9" w:rsidRDefault="00E26E37" w:rsidP="00E26E37">
      <w:pPr>
        <w:pBdr>
          <w:top w:val="single" w:sz="4" w:space="1" w:color="auto"/>
          <w:left w:val="single" w:sz="4" w:space="4" w:color="auto"/>
          <w:bottom w:val="single" w:sz="4" w:space="1" w:color="auto"/>
          <w:right w:val="single" w:sz="4" w:space="4" w:color="auto"/>
        </w:pBdr>
        <w:autoSpaceDE w:val="0"/>
        <w:autoSpaceDN w:val="0"/>
        <w:adjustRightInd w:val="0"/>
        <w:rPr>
          <w:color w:val="000000"/>
          <w:lang w:bidi="ar-SA"/>
        </w:rPr>
      </w:pPr>
      <w:r w:rsidRPr="00803DE9">
        <w:rPr>
          <w:lang w:bidi="ar-SA"/>
        </w:rPr>
        <w:t>2- …………………………………………………………….</w:t>
      </w:r>
    </w:p>
    <w:p w:rsidR="00E26E37" w:rsidRDefault="00E26E37" w:rsidP="00E26E37">
      <w:pPr>
        <w:autoSpaceDE w:val="0"/>
        <w:autoSpaceDN w:val="0"/>
        <w:adjustRightInd w:val="0"/>
        <w:rPr>
          <w:rFonts w:eastAsia="Rockwell"/>
          <w:color w:val="0000FF"/>
          <w:lang w:bidi="ar-SA"/>
        </w:rPr>
      </w:pPr>
    </w:p>
    <w:p w:rsidR="00E26E37" w:rsidRDefault="00E26E37" w:rsidP="00E26E37">
      <w:pPr>
        <w:spacing w:line="252" w:lineRule="auto"/>
        <w:rPr>
          <w:rFonts w:eastAsia="Rockwell"/>
          <w:color w:val="0000FF"/>
          <w:lang w:bidi="ar-SA"/>
        </w:rPr>
      </w:pPr>
      <w:r>
        <w:rPr>
          <w:rFonts w:eastAsia="Rockwell"/>
          <w:color w:val="0000FF"/>
          <w:lang w:bidi="ar-SA"/>
        </w:rPr>
        <w:br w:type="page"/>
      </w:r>
    </w:p>
    <w:p w:rsidR="00E26E37" w:rsidRDefault="00E26E37" w:rsidP="00E26E37">
      <w:pPr>
        <w:autoSpaceDE w:val="0"/>
        <w:autoSpaceDN w:val="0"/>
        <w:adjustRightInd w:val="0"/>
        <w:rPr>
          <w:rFonts w:eastAsia="Rockwell"/>
          <w:color w:val="0000FF"/>
          <w:lang w:bidi="ar-SA"/>
        </w:rPr>
      </w:pPr>
    </w:p>
    <w:p w:rsidR="00E26E37" w:rsidRPr="000A0858" w:rsidRDefault="00E26E37" w:rsidP="003C4C07">
      <w:pPr>
        <w:jc w:val="center"/>
        <w:rPr>
          <w:rFonts w:eastAsia="Rockwell"/>
          <w:b/>
          <w:bCs/>
          <w:color w:val="0000FF"/>
          <w:sz w:val="32"/>
          <w:szCs w:val="32"/>
          <w:lang w:bidi="ar-SA"/>
        </w:rPr>
      </w:pPr>
      <w:r>
        <w:rPr>
          <w:rFonts w:eastAsia="Rockwell"/>
          <w:b/>
          <w:bCs/>
          <w:color w:val="0000FF"/>
          <w:sz w:val="32"/>
          <w:szCs w:val="32"/>
          <w:lang w:bidi="ar-SA"/>
        </w:rPr>
        <w:t xml:space="preserve">ECUE n° 1 </w:t>
      </w:r>
      <w:r w:rsidR="003C4C07" w:rsidRPr="003C4C07">
        <w:rPr>
          <w:rFonts w:eastAsia="Rockwell"/>
          <w:b/>
          <w:bCs/>
          <w:color w:val="0000FF"/>
          <w:sz w:val="32"/>
          <w:szCs w:val="32"/>
          <w:lang w:bidi="ar-SA"/>
        </w:rPr>
        <w:t>Management des communautés virtuelles</w:t>
      </w:r>
    </w:p>
    <w:p w:rsidR="00E26E37" w:rsidRDefault="00E26E37" w:rsidP="00E26E37">
      <w:pPr>
        <w:autoSpaceDE w:val="0"/>
        <w:autoSpaceDN w:val="0"/>
        <w:adjustRightInd w:val="0"/>
        <w:jc w:val="center"/>
        <w:rPr>
          <w:rFonts w:eastAsia="Rockwell"/>
          <w:b/>
          <w:bCs/>
          <w:color w:val="0000FF"/>
          <w:sz w:val="32"/>
          <w:szCs w:val="32"/>
          <w:lang w:bidi="ar-SA"/>
        </w:rPr>
      </w:pPr>
    </w:p>
    <w:p w:rsidR="00E26E37" w:rsidRDefault="00E26E37" w:rsidP="00752E81">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3C4C07">
        <w:rPr>
          <w:rFonts w:eastAsia="Rockwell"/>
          <w:b/>
          <w:bCs/>
          <w:color w:val="0000FF"/>
          <w:sz w:val="32"/>
          <w:szCs w:val="32"/>
          <w:lang w:bidi="ar-SA"/>
        </w:rPr>
        <w:t>1</w:t>
      </w:r>
      <w:r w:rsidR="00752E81">
        <w:rPr>
          <w:rFonts w:eastAsia="Rockwell"/>
          <w:b/>
          <w:bCs/>
          <w:color w:val="0000FF"/>
          <w:sz w:val="32"/>
          <w:szCs w:val="32"/>
          <w:lang w:bidi="ar-SA"/>
        </w:rPr>
        <w:t>1</w:t>
      </w:r>
    </w:p>
    <w:p w:rsidR="00E26E37" w:rsidRDefault="00E26E37" w:rsidP="00E26E37">
      <w:pPr>
        <w:jc w:val="center"/>
        <w:rPr>
          <w:b/>
          <w:bCs/>
          <w:color w:val="000000"/>
          <w:sz w:val="28"/>
          <w:szCs w:val="28"/>
          <w:lang w:bidi="ar-SA"/>
        </w:rPr>
      </w:pPr>
    </w:p>
    <w:p w:rsidR="00E26E37" w:rsidRPr="00091DA8" w:rsidRDefault="00E26E37" w:rsidP="00E26E37">
      <w:pPr>
        <w:autoSpaceDE w:val="0"/>
        <w:autoSpaceDN w:val="0"/>
        <w:adjustRightInd w:val="0"/>
        <w:rPr>
          <w:b/>
          <w:bCs/>
          <w:sz w:val="28"/>
          <w:szCs w:val="28"/>
          <w:u w:val="single"/>
        </w:rPr>
      </w:pPr>
      <w:r w:rsidRPr="00091DA8">
        <w:rPr>
          <w:b/>
          <w:bCs/>
          <w:sz w:val="28"/>
          <w:szCs w:val="28"/>
          <w:u w:val="single"/>
        </w:rPr>
        <w:t>Objectifs</w:t>
      </w:r>
    </w:p>
    <w:p w:rsidR="00E26E37" w:rsidRPr="000A0858" w:rsidRDefault="000A0858" w:rsidP="00E26E37">
      <w:pPr>
        <w:autoSpaceDE w:val="0"/>
        <w:autoSpaceDN w:val="0"/>
        <w:adjustRightInd w:val="0"/>
        <w:rPr>
          <w:rFonts w:asciiTheme="majorBidi" w:hAnsiTheme="majorBidi" w:cstheme="majorBidi"/>
          <w:color w:val="000000" w:themeColor="text1"/>
          <w:shd w:val="clear" w:color="auto" w:fill="FFFFFF"/>
        </w:rPr>
      </w:pPr>
      <w:r w:rsidRPr="000A0858">
        <w:rPr>
          <w:rFonts w:asciiTheme="majorBidi" w:hAnsiTheme="majorBidi" w:cstheme="majorBidi"/>
          <w:color w:val="000000" w:themeColor="text1"/>
          <w:shd w:val="clear" w:color="auto" w:fill="FFFFFF"/>
        </w:rPr>
        <w:t>Ce module présente les méthodes et les outils utilisés pour la création de communautés virtuelles</w:t>
      </w:r>
    </w:p>
    <w:p w:rsidR="00E26E37" w:rsidRPr="00091DA8" w:rsidRDefault="00E26E37" w:rsidP="00E26E37">
      <w:pPr>
        <w:autoSpaceDE w:val="0"/>
        <w:autoSpaceDN w:val="0"/>
        <w:adjustRightInd w:val="0"/>
        <w:rPr>
          <w:b/>
          <w:bCs/>
          <w:sz w:val="28"/>
          <w:szCs w:val="28"/>
          <w:u w:val="single"/>
        </w:rPr>
      </w:pPr>
      <w:r w:rsidRPr="00091DA8">
        <w:rPr>
          <w:b/>
          <w:bCs/>
          <w:sz w:val="28"/>
          <w:szCs w:val="28"/>
          <w:u w:val="single"/>
        </w:rPr>
        <w:t>Plan</w:t>
      </w:r>
    </w:p>
    <w:p w:rsidR="00E26E37" w:rsidRDefault="00E26E37" w:rsidP="00E26E37">
      <w:pPr>
        <w:autoSpaceDE w:val="0"/>
        <w:autoSpaceDN w:val="0"/>
        <w:adjustRightInd w:val="0"/>
        <w:jc w:val="both"/>
        <w:rPr>
          <w:b/>
          <w:bCs/>
          <w:color w:val="000000"/>
          <w:sz w:val="28"/>
          <w:szCs w:val="28"/>
          <w:lang w:bidi="ar-SA"/>
        </w:rPr>
      </w:pPr>
    </w:p>
    <w:p w:rsidR="00E26E37" w:rsidRPr="000A0858" w:rsidRDefault="000A0858" w:rsidP="000A0858">
      <w:pPr>
        <w:autoSpaceDE w:val="0"/>
        <w:autoSpaceDN w:val="0"/>
        <w:adjustRightInd w:val="0"/>
        <w:rPr>
          <w:rFonts w:asciiTheme="majorBidi" w:hAnsiTheme="majorBidi" w:cstheme="majorBidi"/>
          <w:b/>
          <w:bCs/>
          <w:color w:val="000000"/>
          <w:lang w:bidi="ar-SA"/>
        </w:rPr>
      </w:pPr>
      <w:r w:rsidRPr="000A0858">
        <w:rPr>
          <w:rStyle w:val="txtnormalblue"/>
          <w:rFonts w:asciiTheme="majorBidi" w:hAnsiTheme="majorBidi" w:cstheme="majorBidi"/>
          <w:color w:val="006790"/>
          <w:shd w:val="clear" w:color="auto" w:fill="FFFFFF"/>
        </w:rPr>
        <w:t>Unité 1 - Communauté virtuelle - nouvelles opportunités</w:t>
      </w:r>
      <w:r w:rsidRPr="000A0858">
        <w:rPr>
          <w:rFonts w:asciiTheme="majorBidi" w:hAnsiTheme="majorBidi" w:cstheme="majorBidi"/>
          <w:color w:val="333333"/>
        </w:rPr>
        <w:br/>
      </w:r>
      <w:r w:rsidRPr="000A0858">
        <w:rPr>
          <w:rFonts w:asciiTheme="majorBidi" w:hAnsiTheme="majorBidi" w:cstheme="majorBidi"/>
          <w:color w:val="000000" w:themeColor="text1"/>
          <w:shd w:val="clear" w:color="auto" w:fill="FFFFFF"/>
        </w:rPr>
        <w:t>Cette unité décrit les opportunités et les avantages offerts par les communautés virtuelles pour faciliter l'échange de l'information et des connaissances. Elle décrit également les facteurs nécessaires pour créer une communauté virtuelle avec succès.</w:t>
      </w:r>
      <w:r w:rsidRPr="000A0858">
        <w:rPr>
          <w:rFonts w:asciiTheme="majorBidi" w:hAnsiTheme="majorBidi" w:cstheme="majorBidi"/>
          <w:color w:val="000000" w:themeColor="text1"/>
        </w:rPr>
        <w:br/>
      </w:r>
      <w:r w:rsidRPr="000A0858">
        <w:rPr>
          <w:rFonts w:asciiTheme="majorBidi" w:hAnsiTheme="majorBidi" w:cstheme="majorBidi"/>
          <w:color w:val="000000" w:themeColor="text1"/>
        </w:rPr>
        <w:br/>
      </w:r>
      <w:r w:rsidRPr="000A0858">
        <w:rPr>
          <w:rStyle w:val="txtnormalblue"/>
          <w:rFonts w:asciiTheme="majorBidi" w:hAnsiTheme="majorBidi" w:cstheme="majorBidi"/>
          <w:color w:val="006790"/>
          <w:shd w:val="clear" w:color="auto" w:fill="FFFFFF"/>
        </w:rPr>
        <w:t>Unité 2 - Comprendre les besoins et analyser les opportunités</w:t>
      </w:r>
      <w:r w:rsidRPr="000A0858">
        <w:rPr>
          <w:rFonts w:asciiTheme="majorBidi" w:hAnsiTheme="majorBidi" w:cstheme="majorBidi"/>
          <w:color w:val="333333"/>
        </w:rPr>
        <w:br/>
      </w:r>
      <w:r w:rsidRPr="000A0858">
        <w:rPr>
          <w:rFonts w:asciiTheme="majorBidi" w:hAnsiTheme="majorBidi" w:cstheme="majorBidi"/>
          <w:color w:val="000000" w:themeColor="text1"/>
          <w:shd w:val="clear" w:color="auto" w:fill="FFFFFF"/>
        </w:rPr>
        <w:t>Cette unité explique comment effectuer l'analyse des besoins d'une communauté virtuelle, comment créer une équipe de travail et comment définir les propres objectifs. En outre, elle fournit une vue d'ensemble des aspects techniques, financiers, institutionnels et sociaux qu'il faut prendre en compte lors de la création d'une communauté virtuelle.</w:t>
      </w:r>
      <w:r w:rsidRPr="000A0858">
        <w:rPr>
          <w:rFonts w:asciiTheme="majorBidi" w:hAnsiTheme="majorBidi" w:cstheme="majorBidi"/>
          <w:color w:val="000000" w:themeColor="text1"/>
        </w:rPr>
        <w:br/>
      </w:r>
      <w:r w:rsidRPr="000A0858">
        <w:rPr>
          <w:rFonts w:asciiTheme="majorBidi" w:hAnsiTheme="majorBidi" w:cstheme="majorBidi"/>
          <w:color w:val="333333"/>
        </w:rPr>
        <w:br/>
      </w:r>
      <w:r w:rsidRPr="000A0858">
        <w:rPr>
          <w:rStyle w:val="txtnormalblue"/>
          <w:rFonts w:asciiTheme="majorBidi" w:hAnsiTheme="majorBidi" w:cstheme="majorBidi"/>
          <w:color w:val="006790"/>
          <w:shd w:val="clear" w:color="auto" w:fill="FFFFFF"/>
        </w:rPr>
        <w:t>Unité 3 - Options, choix, outils et systèmes</w:t>
      </w:r>
      <w:r w:rsidRPr="000A0858">
        <w:rPr>
          <w:rFonts w:asciiTheme="majorBidi" w:hAnsiTheme="majorBidi" w:cstheme="majorBidi"/>
          <w:color w:val="333333"/>
        </w:rPr>
        <w:br/>
      </w:r>
      <w:r w:rsidRPr="000A0858">
        <w:rPr>
          <w:rFonts w:asciiTheme="majorBidi" w:hAnsiTheme="majorBidi" w:cstheme="majorBidi"/>
          <w:color w:val="000000" w:themeColor="text1"/>
          <w:shd w:val="clear" w:color="auto" w:fill="FFFFFF"/>
        </w:rPr>
        <w:t>Cette unité fournit une vue d'ensemble des outils et des systèmes interactifs disponibles pour créer une communauté virtuelle. Elle décrit les avantages et les faiblesses de chacun d'eux, et explique comment le choix de l'un ou de l'autre peut conditionner la communauté virtuelle.</w:t>
      </w:r>
      <w:r w:rsidRPr="000A0858">
        <w:rPr>
          <w:rFonts w:asciiTheme="majorBidi" w:hAnsiTheme="majorBidi" w:cstheme="majorBidi"/>
          <w:color w:val="000000" w:themeColor="text1"/>
        </w:rPr>
        <w:br/>
      </w:r>
      <w:r w:rsidRPr="000A0858">
        <w:rPr>
          <w:rFonts w:asciiTheme="majorBidi" w:hAnsiTheme="majorBidi" w:cstheme="majorBidi"/>
          <w:color w:val="333333"/>
        </w:rPr>
        <w:br/>
      </w:r>
      <w:r w:rsidRPr="000A0858">
        <w:rPr>
          <w:rStyle w:val="txtnormalblue"/>
          <w:rFonts w:asciiTheme="majorBidi" w:hAnsiTheme="majorBidi" w:cstheme="majorBidi"/>
          <w:color w:val="006790"/>
          <w:shd w:val="clear" w:color="auto" w:fill="FFFFFF"/>
        </w:rPr>
        <w:t>Unité 4 - Création d'une communauté virtuelle</w:t>
      </w:r>
      <w:r w:rsidRPr="000A0858">
        <w:rPr>
          <w:rFonts w:asciiTheme="majorBidi" w:hAnsiTheme="majorBidi" w:cstheme="majorBidi"/>
          <w:color w:val="333333"/>
        </w:rPr>
        <w:br/>
      </w:r>
      <w:r w:rsidRPr="000A0858">
        <w:rPr>
          <w:rFonts w:asciiTheme="majorBidi" w:hAnsiTheme="majorBidi" w:cstheme="majorBidi"/>
          <w:color w:val="000000" w:themeColor="text1"/>
          <w:shd w:val="clear" w:color="auto" w:fill="FFFFFF"/>
        </w:rPr>
        <w:t>Cette unité fournit un guide qui vous aidera à créer votre communauté virtuelle, à introduire le concept de communication virtuelle dans votre organisation, à comprendre les catégories de personnel nécessaires, les choix techniques à faire, ainsi que la planification des activités de promotion, de formation et d'évaluation.</w:t>
      </w:r>
      <w:r w:rsidRPr="000A0858">
        <w:rPr>
          <w:rFonts w:asciiTheme="majorBidi" w:hAnsiTheme="majorBidi" w:cstheme="majorBidi"/>
          <w:color w:val="000000" w:themeColor="text1"/>
        </w:rPr>
        <w:br/>
      </w:r>
      <w:r w:rsidRPr="000A0858">
        <w:rPr>
          <w:rFonts w:asciiTheme="majorBidi" w:hAnsiTheme="majorBidi" w:cstheme="majorBidi"/>
          <w:color w:val="333333"/>
        </w:rPr>
        <w:br/>
      </w:r>
      <w:r w:rsidRPr="000A0858">
        <w:rPr>
          <w:rStyle w:val="txtnormalblue"/>
          <w:rFonts w:asciiTheme="majorBidi" w:hAnsiTheme="majorBidi" w:cstheme="majorBidi"/>
          <w:color w:val="006790"/>
          <w:shd w:val="clear" w:color="auto" w:fill="FFFFFF"/>
        </w:rPr>
        <w:t>Unité 5 - Animation virtuelle</w:t>
      </w:r>
      <w:r w:rsidRPr="000A0858">
        <w:rPr>
          <w:rFonts w:asciiTheme="majorBidi" w:hAnsiTheme="majorBidi" w:cstheme="majorBidi"/>
          <w:color w:val="333333"/>
        </w:rPr>
        <w:br/>
      </w:r>
      <w:r w:rsidRPr="000A0858">
        <w:rPr>
          <w:rFonts w:asciiTheme="majorBidi" w:hAnsiTheme="majorBidi" w:cstheme="majorBidi"/>
          <w:color w:val="000000" w:themeColor="text1"/>
          <w:shd w:val="clear" w:color="auto" w:fill="FFFFFF"/>
        </w:rPr>
        <w:t>Cette unité fournit un guide qui vous aidera à animer une communauté virtuelle. Elle introduit les concepts de base de l'animation, elle compare l'animation virtuelle et l'animation traditionnelle, et fournit une vue d'ensemble des outils et des techniques disponibles.</w:t>
      </w:r>
      <w:r w:rsidRPr="000A0858">
        <w:rPr>
          <w:rFonts w:asciiTheme="majorBidi" w:hAnsiTheme="majorBidi" w:cstheme="majorBidi"/>
          <w:b/>
          <w:bCs/>
          <w:color w:val="000000"/>
          <w:lang w:bidi="ar-SA"/>
        </w:rPr>
        <w:t xml:space="preserve"> </w:t>
      </w:r>
      <w:r w:rsidR="00E26E37" w:rsidRPr="000A0858">
        <w:rPr>
          <w:rFonts w:asciiTheme="majorBidi" w:hAnsiTheme="majorBidi" w:cstheme="majorBidi"/>
          <w:b/>
          <w:bCs/>
          <w:color w:val="000000"/>
          <w:lang w:bidi="ar-SA"/>
        </w:rPr>
        <w:br w:type="page"/>
      </w:r>
    </w:p>
    <w:p w:rsidR="00167AB9" w:rsidRPr="000A0858" w:rsidRDefault="00167AB9" w:rsidP="003C4C07">
      <w:pPr>
        <w:jc w:val="center"/>
        <w:rPr>
          <w:rFonts w:eastAsia="Rockwell"/>
          <w:b/>
          <w:bCs/>
          <w:color w:val="0000FF"/>
          <w:sz w:val="32"/>
          <w:szCs w:val="32"/>
          <w:lang w:bidi="ar-SA"/>
        </w:rPr>
      </w:pPr>
      <w:r>
        <w:rPr>
          <w:rFonts w:eastAsia="Rockwell"/>
          <w:b/>
          <w:bCs/>
          <w:color w:val="0000FF"/>
          <w:sz w:val="32"/>
          <w:szCs w:val="32"/>
          <w:lang w:bidi="ar-SA"/>
        </w:rPr>
        <w:lastRenderedPageBreak/>
        <w:t xml:space="preserve">ECUE n° </w:t>
      </w:r>
      <w:r w:rsidR="003C4C07">
        <w:rPr>
          <w:rFonts w:eastAsia="Rockwell"/>
          <w:b/>
          <w:bCs/>
          <w:color w:val="0000FF"/>
          <w:sz w:val="32"/>
          <w:szCs w:val="32"/>
          <w:lang w:bidi="ar-SA"/>
        </w:rPr>
        <w:t>2</w:t>
      </w:r>
      <w:r>
        <w:rPr>
          <w:rFonts w:eastAsia="Rockwell"/>
          <w:b/>
          <w:bCs/>
          <w:color w:val="0000FF"/>
          <w:sz w:val="32"/>
          <w:szCs w:val="32"/>
          <w:lang w:bidi="ar-SA"/>
        </w:rPr>
        <w:t xml:space="preserve"> </w:t>
      </w:r>
      <w:r w:rsidR="003C4C07">
        <w:rPr>
          <w:rFonts w:eastAsia="Rockwell"/>
          <w:b/>
          <w:bCs/>
          <w:color w:val="0000FF"/>
          <w:sz w:val="32"/>
          <w:szCs w:val="32"/>
          <w:lang w:bidi="ar-SA"/>
        </w:rPr>
        <w:t>Techniques de communication</w:t>
      </w:r>
      <w:r w:rsidRPr="000A0858">
        <w:rPr>
          <w:rFonts w:eastAsia="Rockwell"/>
          <w:b/>
          <w:bCs/>
          <w:color w:val="0000FF"/>
          <w:sz w:val="32"/>
          <w:szCs w:val="32"/>
          <w:lang w:bidi="ar-SA"/>
        </w:rPr>
        <w:t xml:space="preserve"> </w:t>
      </w:r>
    </w:p>
    <w:p w:rsidR="00167AB9" w:rsidRDefault="00167AB9" w:rsidP="00167AB9">
      <w:pPr>
        <w:autoSpaceDE w:val="0"/>
        <w:autoSpaceDN w:val="0"/>
        <w:adjustRightInd w:val="0"/>
        <w:jc w:val="center"/>
        <w:rPr>
          <w:rFonts w:eastAsia="Rockwell"/>
          <w:b/>
          <w:bCs/>
          <w:color w:val="0000FF"/>
          <w:sz w:val="32"/>
          <w:szCs w:val="32"/>
          <w:lang w:bidi="ar-SA"/>
        </w:rPr>
      </w:pPr>
    </w:p>
    <w:p w:rsidR="00167AB9" w:rsidRDefault="00167AB9" w:rsidP="00752E81">
      <w:pPr>
        <w:autoSpaceDE w:val="0"/>
        <w:autoSpaceDN w:val="0"/>
        <w:adjustRightInd w:val="0"/>
        <w:jc w:val="center"/>
        <w:rPr>
          <w:rFonts w:eastAsia="Rockwell"/>
          <w:color w:val="000000"/>
          <w:sz w:val="20"/>
          <w:szCs w:val="20"/>
          <w:lang w:bidi="ar-SA"/>
        </w:rPr>
      </w:pPr>
      <w:r>
        <w:rPr>
          <w:rFonts w:eastAsia="Rockwell"/>
          <w:b/>
          <w:bCs/>
          <w:color w:val="0000FF"/>
          <w:sz w:val="32"/>
          <w:szCs w:val="32"/>
          <w:lang w:bidi="ar-SA"/>
        </w:rPr>
        <w:t>Code UE</w:t>
      </w:r>
      <w:r w:rsidR="00752E81">
        <w:rPr>
          <w:rFonts w:eastAsia="Rockwell"/>
          <w:b/>
          <w:bCs/>
          <w:color w:val="0000FF"/>
          <w:sz w:val="32"/>
          <w:szCs w:val="32"/>
          <w:lang w:bidi="ar-SA"/>
        </w:rPr>
        <w:t>1</w:t>
      </w:r>
      <w:r>
        <w:rPr>
          <w:rFonts w:eastAsia="Rockwell"/>
          <w:b/>
          <w:bCs/>
          <w:color w:val="0000FF"/>
          <w:sz w:val="32"/>
          <w:szCs w:val="32"/>
          <w:lang w:bidi="ar-SA"/>
        </w:rPr>
        <w:t>1</w:t>
      </w:r>
    </w:p>
    <w:p w:rsidR="00167AB9" w:rsidRDefault="00167AB9" w:rsidP="00167AB9">
      <w:pPr>
        <w:jc w:val="center"/>
        <w:rPr>
          <w:b/>
          <w:bCs/>
          <w:color w:val="000000"/>
          <w:sz w:val="28"/>
          <w:szCs w:val="28"/>
          <w:lang w:bidi="ar-SA"/>
        </w:rPr>
      </w:pPr>
    </w:p>
    <w:p w:rsidR="00167AB9" w:rsidRPr="00167AB9" w:rsidRDefault="00167AB9" w:rsidP="00167AB9">
      <w:pPr>
        <w:autoSpaceDE w:val="0"/>
        <w:autoSpaceDN w:val="0"/>
        <w:adjustRightInd w:val="0"/>
        <w:ind w:left="284" w:hanging="142"/>
        <w:rPr>
          <w:rFonts w:asciiTheme="majorBidi" w:hAnsiTheme="majorBidi" w:cstheme="majorBidi"/>
          <w:b/>
          <w:bCs/>
          <w:u w:val="single"/>
        </w:rPr>
      </w:pPr>
      <w:r w:rsidRPr="00167AB9">
        <w:rPr>
          <w:rFonts w:asciiTheme="majorBidi" w:hAnsiTheme="majorBidi" w:cstheme="majorBidi"/>
          <w:b/>
          <w:bCs/>
          <w:u w:val="single"/>
        </w:rPr>
        <w:t>Objectifs</w:t>
      </w:r>
    </w:p>
    <w:p w:rsidR="00B05B83" w:rsidRPr="00B05B83" w:rsidRDefault="007201C8"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 xml:space="preserve"> Améliorez votre communication et vos relations avec les autres</w:t>
      </w:r>
    </w:p>
    <w:p w:rsidR="00B05B83" w:rsidRPr="00B05B83" w:rsidRDefault="007201C8"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 xml:space="preserve"> Tirez parti de votre potentiel et collaborez efficacement avec vos interlocuteurs</w:t>
      </w:r>
    </w:p>
    <w:p w:rsidR="00167AB9" w:rsidRPr="00B05B83" w:rsidRDefault="007201C8"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 xml:space="preserve"> Adaptez votre communication aux situations et aux personnes, même en situation difficile</w:t>
      </w:r>
    </w:p>
    <w:p w:rsidR="00B05B83" w:rsidRPr="00B05B83" w:rsidRDefault="00B05B83" w:rsidP="00B05B83">
      <w:pPr>
        <w:autoSpaceDE w:val="0"/>
        <w:autoSpaceDN w:val="0"/>
        <w:adjustRightInd w:val="0"/>
        <w:ind w:left="284" w:hanging="142"/>
        <w:rPr>
          <w:rFonts w:asciiTheme="majorBidi" w:hAnsiTheme="majorBidi" w:cstheme="majorBidi"/>
          <w:b/>
          <w:bCs/>
          <w:u w:val="single"/>
        </w:rPr>
      </w:pPr>
      <w:r w:rsidRPr="00B05B83">
        <w:rPr>
          <w:rFonts w:asciiTheme="majorBidi" w:hAnsiTheme="majorBidi" w:cstheme="majorBidi"/>
          <w:b/>
          <w:bCs/>
          <w:u w:val="single"/>
        </w:rPr>
        <w:t>Vous apprendrez à</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Obtenir des résultats en communiquant</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Construire des relations qui mettent l'accent sur la confiance/le respect</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Communiquer en utilisant un langage simple, concis et direct</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Développer des compétences en écoute active pour éviter les incompréhensions</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Encourager la compréhension interculturelle sur votre lieu de travail</w:t>
      </w:r>
    </w:p>
    <w:p w:rsidR="00167AB9" w:rsidRDefault="00167AB9" w:rsidP="00167AB9">
      <w:pPr>
        <w:autoSpaceDE w:val="0"/>
        <w:autoSpaceDN w:val="0"/>
        <w:adjustRightInd w:val="0"/>
        <w:ind w:left="284" w:hanging="142"/>
        <w:rPr>
          <w:rFonts w:asciiTheme="majorBidi" w:hAnsiTheme="majorBidi" w:cstheme="majorBidi"/>
          <w:b/>
          <w:bCs/>
          <w:u w:val="single"/>
        </w:rPr>
      </w:pPr>
      <w:r w:rsidRPr="00167AB9">
        <w:rPr>
          <w:rFonts w:asciiTheme="majorBidi" w:hAnsiTheme="majorBidi" w:cstheme="majorBidi"/>
          <w:b/>
          <w:bCs/>
          <w:u w:val="single"/>
        </w:rPr>
        <w:t>Plan</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Concepts fondamentaux</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Adopter un langage simple, concis et direct</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Identification des principes de base de la communication</w:t>
      </w:r>
    </w:p>
    <w:p w:rsidR="00B05B83" w:rsidRPr="00B05B83" w:rsidRDefault="00B05B83" w:rsidP="00B05B83">
      <w:pPr>
        <w:numPr>
          <w:ilvl w:val="0"/>
          <w:numId w:val="1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Mise en place d'un modèle de processus de communication</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Définir des objectifs clairs pour votre communication</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Définir les résultats attendus</w:t>
      </w:r>
    </w:p>
    <w:p w:rsidR="00B05B83" w:rsidRPr="00B05B83" w:rsidRDefault="00B05B83" w:rsidP="00B05B83">
      <w:pPr>
        <w:numPr>
          <w:ilvl w:val="0"/>
          <w:numId w:val="1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Solliciter un retour d'informations</w:t>
      </w:r>
    </w:p>
    <w:p w:rsidR="00B05B83" w:rsidRPr="00B05B83" w:rsidRDefault="00B05B83" w:rsidP="00B05B83">
      <w:pPr>
        <w:numPr>
          <w:ilvl w:val="0"/>
          <w:numId w:val="1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Mettre en rapport les intentions avec les résultats</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Engager les communications</w:t>
      </w:r>
    </w:p>
    <w:p w:rsidR="00B05B83" w:rsidRPr="00B05B83" w:rsidRDefault="00B05B83" w:rsidP="00B05B83">
      <w:pPr>
        <w:numPr>
          <w:ilvl w:val="0"/>
          <w:numId w:val="17"/>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Déterminer quoi dire et la meilleure façon de le dire</w:t>
      </w:r>
    </w:p>
    <w:p w:rsidR="00B05B83" w:rsidRPr="00B05B83" w:rsidRDefault="00B05B83" w:rsidP="00B05B83">
      <w:pPr>
        <w:numPr>
          <w:ilvl w:val="0"/>
          <w:numId w:val="17"/>
        </w:numPr>
        <w:shd w:val="clear" w:color="auto" w:fill="FFFFFF"/>
        <w:spacing w:line="240" w:lineRule="atLeast"/>
        <w:ind w:left="284" w:hanging="142"/>
        <w:rPr>
          <w:rFonts w:asciiTheme="majorBidi" w:hAnsiTheme="majorBidi" w:cstheme="majorBidi"/>
          <w:color w:val="000000"/>
          <w:sz w:val="20"/>
          <w:szCs w:val="20"/>
        </w:rPr>
      </w:pPr>
      <w:proofErr w:type="spellStart"/>
      <w:r w:rsidRPr="00B05B83">
        <w:rPr>
          <w:rFonts w:asciiTheme="majorBidi" w:hAnsiTheme="majorBidi" w:cstheme="majorBidi"/>
          <w:color w:val="000000"/>
          <w:sz w:val="20"/>
          <w:szCs w:val="20"/>
        </w:rPr>
        <w:t>Étre</w:t>
      </w:r>
      <w:proofErr w:type="spellEnd"/>
      <w:r w:rsidRPr="00B05B83">
        <w:rPr>
          <w:rFonts w:asciiTheme="majorBidi" w:hAnsiTheme="majorBidi" w:cstheme="majorBidi"/>
          <w:color w:val="000000"/>
          <w:sz w:val="20"/>
          <w:szCs w:val="20"/>
        </w:rPr>
        <w:t xml:space="preserve"> attentif aux indices verbaux et non verbaux</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Éviter les ruptures de communication</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Accroître l'intérêt de vos communications</w:t>
      </w:r>
    </w:p>
    <w:p w:rsidR="00B05B83" w:rsidRPr="00B05B83" w:rsidRDefault="00B05B83" w:rsidP="00B05B83">
      <w:pPr>
        <w:numPr>
          <w:ilvl w:val="0"/>
          <w:numId w:val="18"/>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Renforcer votre efficacité relationnelle</w:t>
      </w:r>
    </w:p>
    <w:p w:rsidR="00B05B83" w:rsidRPr="00B05B83" w:rsidRDefault="00B05B83" w:rsidP="00B05B83">
      <w:pPr>
        <w:numPr>
          <w:ilvl w:val="0"/>
          <w:numId w:val="18"/>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Distinguer ce qui a de l'intérêt de ce qui n'en a pas</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Prise de responsabilité personnelle</w:t>
      </w:r>
    </w:p>
    <w:p w:rsidR="00B05B83" w:rsidRPr="00B05B83" w:rsidRDefault="00B05B83" w:rsidP="00B05B83">
      <w:pPr>
        <w:numPr>
          <w:ilvl w:val="0"/>
          <w:numId w:val="1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Reconnaître votre rôle dans la réussite des communications</w:t>
      </w:r>
    </w:p>
    <w:p w:rsidR="00B05B83" w:rsidRPr="00B05B83" w:rsidRDefault="00B05B83" w:rsidP="00B05B83">
      <w:pPr>
        <w:numPr>
          <w:ilvl w:val="0"/>
          <w:numId w:val="1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Identifier les facteurs internes et externes influant sur vos communications</w:t>
      </w:r>
    </w:p>
    <w:p w:rsidR="00B05B83" w:rsidRPr="00B05B83" w:rsidRDefault="00B05B83" w:rsidP="00B05B83">
      <w:pPr>
        <w:numPr>
          <w:ilvl w:val="0"/>
          <w:numId w:val="1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Mise en place d'un contrôle par retour de l'information</w:t>
      </w:r>
    </w:p>
    <w:p w:rsidR="00B05B83" w:rsidRPr="00B05B83" w:rsidRDefault="00B05B83" w:rsidP="00B05B83">
      <w:pPr>
        <w:numPr>
          <w:ilvl w:val="0"/>
          <w:numId w:val="1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Communication non défensive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Comprendre et s'adapter à des styles de communication variés</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Identification des quatre styles de communication</w:t>
      </w:r>
    </w:p>
    <w:p w:rsidR="00B05B83" w:rsidRPr="00B05B83" w:rsidRDefault="00B05B83" w:rsidP="00B05B83">
      <w:pPr>
        <w:numPr>
          <w:ilvl w:val="0"/>
          <w:numId w:val="20"/>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Reconnaître votre style et celui des autres</w:t>
      </w:r>
    </w:p>
    <w:p w:rsidR="00B05B83" w:rsidRPr="00B05B83" w:rsidRDefault="00B05B83" w:rsidP="00B05B83">
      <w:pPr>
        <w:numPr>
          <w:ilvl w:val="0"/>
          <w:numId w:val="20"/>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Points forts et points faibles de chaque style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Créer des passerelles entre les styles de communication</w:t>
      </w:r>
    </w:p>
    <w:p w:rsidR="00B05B83" w:rsidRPr="00B05B83" w:rsidRDefault="00B05B83" w:rsidP="00B05B83">
      <w:pPr>
        <w:numPr>
          <w:ilvl w:val="0"/>
          <w:numId w:val="21"/>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Adapter votre approche personnelle pour combler les fossés de communication</w:t>
      </w:r>
    </w:p>
    <w:p w:rsidR="00B05B83" w:rsidRPr="00B05B83" w:rsidRDefault="00B05B83" w:rsidP="00B05B83">
      <w:pPr>
        <w:numPr>
          <w:ilvl w:val="0"/>
          <w:numId w:val="21"/>
        </w:numPr>
        <w:shd w:val="clear" w:color="auto" w:fill="FFFFFF"/>
        <w:spacing w:line="240" w:lineRule="atLeast"/>
        <w:ind w:left="284" w:hanging="142"/>
        <w:rPr>
          <w:rFonts w:asciiTheme="majorBidi" w:hAnsiTheme="majorBidi" w:cstheme="majorBidi"/>
          <w:color w:val="000000"/>
          <w:sz w:val="20"/>
          <w:szCs w:val="20"/>
        </w:rPr>
      </w:pPr>
      <w:proofErr w:type="spellStart"/>
      <w:r w:rsidRPr="00B05B83">
        <w:rPr>
          <w:rFonts w:asciiTheme="majorBidi" w:hAnsiTheme="majorBidi" w:cstheme="majorBidi"/>
          <w:color w:val="000000"/>
          <w:sz w:val="20"/>
          <w:szCs w:val="20"/>
        </w:rPr>
        <w:t>Étre</w:t>
      </w:r>
      <w:proofErr w:type="spellEnd"/>
      <w:r w:rsidRPr="00B05B83">
        <w:rPr>
          <w:rFonts w:asciiTheme="majorBidi" w:hAnsiTheme="majorBidi" w:cstheme="majorBidi"/>
          <w:color w:val="000000"/>
          <w:sz w:val="20"/>
          <w:szCs w:val="20"/>
        </w:rPr>
        <w:t xml:space="preserve"> souple sans compromettre son identité</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Écouter pour mieux comprendre</w:t>
      </w:r>
    </w:p>
    <w:p w:rsidR="00B05B83" w:rsidRPr="00B05B83" w:rsidRDefault="00B05B83" w:rsidP="00B05B83">
      <w:pPr>
        <w:numPr>
          <w:ilvl w:val="0"/>
          <w:numId w:val="22"/>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Poser des questions de clarification</w:t>
      </w:r>
    </w:p>
    <w:p w:rsidR="00B05B83" w:rsidRPr="00B05B83" w:rsidRDefault="00B05B83" w:rsidP="00B05B83">
      <w:pPr>
        <w:numPr>
          <w:ilvl w:val="0"/>
          <w:numId w:val="22"/>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Confirmer le message</w:t>
      </w:r>
    </w:p>
    <w:p w:rsidR="00B05B83" w:rsidRPr="00B05B83" w:rsidRDefault="00B05B83" w:rsidP="00B05B83">
      <w:pPr>
        <w:numPr>
          <w:ilvl w:val="0"/>
          <w:numId w:val="22"/>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Faire preuve de respect, d'empathie et de sensibilité</w:t>
      </w:r>
    </w:p>
    <w:p w:rsidR="00B05B83" w:rsidRPr="00B05B83" w:rsidRDefault="00B05B83" w:rsidP="00B05B83">
      <w:pPr>
        <w:numPr>
          <w:ilvl w:val="0"/>
          <w:numId w:val="22"/>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Écouter l'intégralité du message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Interprétation des indices non verbaux</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Intonation</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Rapidité d'élocution</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Volumes</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Gestuelle</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Expressions du visage</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lastRenderedPageBreak/>
        <w:t>Posture</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Utilisation de l'espace</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Tenue vestimentaire</w:t>
      </w:r>
    </w:p>
    <w:p w:rsidR="00B05B83" w:rsidRPr="00B05B83" w:rsidRDefault="00B05B83" w:rsidP="00B05B83">
      <w:pPr>
        <w:numPr>
          <w:ilvl w:val="0"/>
          <w:numId w:val="23"/>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Contact visuel</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Parvenir à des communications sincères</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Créer l'ouverture</w:t>
      </w:r>
    </w:p>
    <w:p w:rsidR="00B05B83" w:rsidRPr="00B05B83" w:rsidRDefault="00B05B83" w:rsidP="00B05B83">
      <w:pPr>
        <w:numPr>
          <w:ilvl w:val="0"/>
          <w:numId w:val="24"/>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Savoir à quel moment prendre la parole</w:t>
      </w:r>
    </w:p>
    <w:p w:rsidR="00B05B83" w:rsidRPr="00B05B83" w:rsidRDefault="00B05B83" w:rsidP="00B05B83">
      <w:pPr>
        <w:numPr>
          <w:ilvl w:val="0"/>
          <w:numId w:val="24"/>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Identifier les degrés de confidentialité les mieux adaptés</w:t>
      </w:r>
    </w:p>
    <w:p w:rsidR="00B05B83" w:rsidRPr="00B05B83" w:rsidRDefault="00B05B83" w:rsidP="00B05B83">
      <w:pPr>
        <w:numPr>
          <w:ilvl w:val="0"/>
          <w:numId w:val="24"/>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Établir l'intérêt et la confiance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b w:val="0"/>
          <w:bCs w:val="0"/>
          <w:color w:val="000000"/>
          <w:sz w:val="20"/>
          <w:szCs w:val="20"/>
        </w:rPr>
      </w:pPr>
      <w:r w:rsidRPr="00B05B83">
        <w:rPr>
          <w:rFonts w:asciiTheme="majorBidi" w:hAnsiTheme="majorBidi" w:cstheme="majorBidi"/>
          <w:b w:val="0"/>
          <w:bCs w:val="0"/>
          <w:color w:val="000000"/>
          <w:sz w:val="20"/>
          <w:szCs w:val="20"/>
        </w:rPr>
        <w:t>Modèle de comportement tridimensionnel</w:t>
      </w:r>
    </w:p>
    <w:p w:rsidR="00B05B83" w:rsidRPr="00B05B83" w:rsidRDefault="00B05B83" w:rsidP="00B05B83">
      <w:pPr>
        <w:numPr>
          <w:ilvl w:val="0"/>
          <w:numId w:val="2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Identifier la manière dont vous communiquez avec les autres et comment l'améliorer</w:t>
      </w:r>
    </w:p>
    <w:p w:rsidR="00B05B83" w:rsidRPr="00B05B83" w:rsidRDefault="00B05B83" w:rsidP="00B05B83">
      <w:pPr>
        <w:numPr>
          <w:ilvl w:val="0"/>
          <w:numId w:val="25"/>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Établir un équilibre entre ce que vous voulez et ce que vous exprimez</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Correspondance entre votre langage corporel et votre message</w:t>
      </w:r>
    </w:p>
    <w:p w:rsidR="00B05B83" w:rsidRPr="00B05B83" w:rsidRDefault="00B05B83" w:rsidP="00B05B83">
      <w:pPr>
        <w:numPr>
          <w:ilvl w:val="0"/>
          <w:numId w:val="2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Renforcer votre message pour obtenir les résultats escomptés</w:t>
      </w:r>
    </w:p>
    <w:p w:rsidR="00B05B83" w:rsidRPr="00B05B83" w:rsidRDefault="00B05B83" w:rsidP="00B05B83">
      <w:pPr>
        <w:numPr>
          <w:ilvl w:val="0"/>
          <w:numId w:val="2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Créer des messages crédibles</w:t>
      </w:r>
    </w:p>
    <w:p w:rsidR="00B05B83" w:rsidRPr="00B05B83" w:rsidRDefault="00B05B83" w:rsidP="00B05B83">
      <w:pPr>
        <w:numPr>
          <w:ilvl w:val="0"/>
          <w:numId w:val="2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S'assurer que votre attitude n'entrave pas mais contribue à la communication</w:t>
      </w:r>
    </w:p>
    <w:p w:rsidR="00B05B83" w:rsidRPr="00B05B83" w:rsidRDefault="00B05B83" w:rsidP="00B05B83">
      <w:pPr>
        <w:numPr>
          <w:ilvl w:val="0"/>
          <w:numId w:val="26"/>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Utiliser le silence efficacement</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Communication interculturelle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Au-delà des frontières culturelles</w:t>
      </w:r>
    </w:p>
    <w:p w:rsidR="00B05B83" w:rsidRPr="00B05B83" w:rsidRDefault="00B05B83" w:rsidP="00B05B83">
      <w:pPr>
        <w:numPr>
          <w:ilvl w:val="0"/>
          <w:numId w:val="27"/>
        </w:numPr>
        <w:shd w:val="clear" w:color="auto" w:fill="FFFFFF"/>
        <w:spacing w:line="240" w:lineRule="atLeast"/>
        <w:ind w:left="284" w:hanging="142"/>
        <w:rPr>
          <w:rFonts w:asciiTheme="majorBidi" w:hAnsiTheme="majorBidi" w:cstheme="majorBidi"/>
          <w:color w:val="000000"/>
          <w:sz w:val="20"/>
          <w:szCs w:val="20"/>
        </w:rPr>
      </w:pPr>
      <w:proofErr w:type="spellStart"/>
      <w:r w:rsidRPr="00B05B83">
        <w:rPr>
          <w:rFonts w:asciiTheme="majorBidi" w:hAnsiTheme="majorBidi" w:cstheme="majorBidi"/>
          <w:color w:val="000000"/>
          <w:sz w:val="20"/>
          <w:szCs w:val="20"/>
        </w:rPr>
        <w:t>Étre</w:t>
      </w:r>
      <w:proofErr w:type="spellEnd"/>
      <w:r w:rsidRPr="00B05B83">
        <w:rPr>
          <w:rFonts w:asciiTheme="majorBidi" w:hAnsiTheme="majorBidi" w:cstheme="majorBidi"/>
          <w:color w:val="000000"/>
          <w:sz w:val="20"/>
          <w:szCs w:val="20"/>
        </w:rPr>
        <w:t xml:space="preserve"> sensible aux différences culturelles</w:t>
      </w:r>
    </w:p>
    <w:p w:rsidR="00B05B83" w:rsidRPr="00B05B83" w:rsidRDefault="00B05B83" w:rsidP="00B05B83">
      <w:pPr>
        <w:numPr>
          <w:ilvl w:val="0"/>
          <w:numId w:val="27"/>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Éviter les pièges liés à la différence culturelle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b w:val="0"/>
          <w:bCs w:val="0"/>
          <w:color w:val="000000"/>
          <w:sz w:val="20"/>
          <w:szCs w:val="20"/>
        </w:rPr>
      </w:pPr>
      <w:r w:rsidRPr="00B05B83">
        <w:rPr>
          <w:rFonts w:asciiTheme="majorBidi" w:hAnsiTheme="majorBidi" w:cstheme="majorBidi"/>
          <w:b w:val="0"/>
          <w:bCs w:val="0"/>
          <w:color w:val="000000"/>
          <w:sz w:val="20"/>
          <w:szCs w:val="20"/>
        </w:rPr>
        <w:t>Reconnaître les filtres et les présupposés</w:t>
      </w:r>
    </w:p>
    <w:p w:rsidR="00B05B83" w:rsidRPr="00B05B83" w:rsidRDefault="00B05B83" w:rsidP="00B05B83">
      <w:pPr>
        <w:numPr>
          <w:ilvl w:val="0"/>
          <w:numId w:val="28"/>
        </w:numPr>
        <w:shd w:val="clear" w:color="auto" w:fill="FFFFFF"/>
        <w:spacing w:line="240" w:lineRule="atLeast"/>
        <w:ind w:left="284" w:hanging="142"/>
        <w:rPr>
          <w:rFonts w:asciiTheme="majorBidi" w:hAnsiTheme="majorBidi" w:cstheme="majorBidi"/>
          <w:color w:val="000000"/>
          <w:sz w:val="20"/>
          <w:szCs w:val="20"/>
        </w:rPr>
      </w:pPr>
      <w:proofErr w:type="spellStart"/>
      <w:r w:rsidRPr="00B05B83">
        <w:rPr>
          <w:rFonts w:asciiTheme="majorBidi" w:hAnsiTheme="majorBidi" w:cstheme="majorBidi"/>
          <w:color w:val="000000"/>
          <w:sz w:val="20"/>
          <w:szCs w:val="20"/>
        </w:rPr>
        <w:t>Étre</w:t>
      </w:r>
      <w:proofErr w:type="spellEnd"/>
      <w:r w:rsidRPr="00B05B83">
        <w:rPr>
          <w:rFonts w:asciiTheme="majorBidi" w:hAnsiTheme="majorBidi" w:cstheme="majorBidi"/>
          <w:color w:val="000000"/>
          <w:sz w:val="20"/>
          <w:szCs w:val="20"/>
        </w:rPr>
        <w:t xml:space="preserve"> plus attentif pour éviter les malentendus</w:t>
      </w:r>
    </w:p>
    <w:p w:rsidR="00B05B83" w:rsidRPr="00B05B83" w:rsidRDefault="00B05B83" w:rsidP="00B05B83">
      <w:pPr>
        <w:numPr>
          <w:ilvl w:val="0"/>
          <w:numId w:val="28"/>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Déceler les présupposés cachés</w:t>
      </w:r>
    </w:p>
    <w:p w:rsidR="00B05B83" w:rsidRPr="00B05B83" w:rsidRDefault="00B05B83" w:rsidP="00B05B83">
      <w:pPr>
        <w:numPr>
          <w:ilvl w:val="0"/>
          <w:numId w:val="28"/>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Reconnaître les filtres chez les autres et chez vous-même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Gérer les émotions de manière constructive</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Gérer la colère</w:t>
      </w:r>
    </w:p>
    <w:p w:rsidR="00B05B83" w:rsidRPr="00B05B83" w:rsidRDefault="00B05B83" w:rsidP="00B05B83">
      <w:pPr>
        <w:numPr>
          <w:ilvl w:val="0"/>
          <w:numId w:val="2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Dépasser ses limites</w:t>
      </w:r>
    </w:p>
    <w:p w:rsidR="00B05B83" w:rsidRPr="00B05B83" w:rsidRDefault="00B05B83" w:rsidP="00B05B83">
      <w:pPr>
        <w:numPr>
          <w:ilvl w:val="0"/>
          <w:numId w:val="2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Exprimer votre colère de façon constructive</w:t>
      </w:r>
    </w:p>
    <w:p w:rsidR="00B05B83" w:rsidRPr="00B05B83" w:rsidRDefault="00B05B83" w:rsidP="00B05B83">
      <w:pPr>
        <w:numPr>
          <w:ilvl w:val="0"/>
          <w:numId w:val="29"/>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Limiter les réactions défensives des autres</w:t>
      </w:r>
    </w:p>
    <w:p w:rsidR="00B05B83" w:rsidRPr="00B05B83" w:rsidRDefault="00B05B83" w:rsidP="00B05B83">
      <w:pPr>
        <w:pStyle w:val="Titre3"/>
        <w:shd w:val="clear" w:color="auto" w:fill="FFFFFF"/>
        <w:spacing w:before="0" w:beforeAutospacing="0" w:after="45" w:afterAutospacing="0" w:line="240" w:lineRule="atLeast"/>
        <w:ind w:left="284" w:hanging="142"/>
        <w:rPr>
          <w:rFonts w:asciiTheme="majorBidi" w:hAnsiTheme="majorBidi" w:cstheme="majorBidi"/>
          <w:b w:val="0"/>
          <w:bCs w:val="0"/>
          <w:color w:val="000000"/>
          <w:sz w:val="20"/>
          <w:szCs w:val="20"/>
        </w:rPr>
      </w:pPr>
      <w:r w:rsidRPr="00B05B83">
        <w:rPr>
          <w:rFonts w:asciiTheme="majorBidi" w:hAnsiTheme="majorBidi" w:cstheme="majorBidi"/>
          <w:b w:val="0"/>
          <w:bCs w:val="0"/>
          <w:color w:val="000000"/>
          <w:sz w:val="20"/>
          <w:szCs w:val="20"/>
        </w:rPr>
        <w:t>Gérer les situations lourdes émotionnellement</w:t>
      </w:r>
    </w:p>
    <w:p w:rsidR="00B05B83" w:rsidRPr="00B05B83" w:rsidRDefault="00B05B83" w:rsidP="00B05B83">
      <w:pPr>
        <w:numPr>
          <w:ilvl w:val="0"/>
          <w:numId w:val="30"/>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Décrisper une situation tout en gardant votre aplomb</w:t>
      </w:r>
    </w:p>
    <w:p w:rsidR="00B05B83" w:rsidRPr="00B05B83" w:rsidRDefault="00B05B83" w:rsidP="00B05B83">
      <w:pPr>
        <w:numPr>
          <w:ilvl w:val="0"/>
          <w:numId w:val="30"/>
        </w:numPr>
        <w:shd w:val="clear" w:color="auto" w:fill="FFFFFF"/>
        <w:spacing w:line="240" w:lineRule="atLeast"/>
        <w:ind w:left="284" w:hanging="142"/>
        <w:rPr>
          <w:rFonts w:asciiTheme="majorBidi" w:hAnsiTheme="majorBidi" w:cstheme="majorBidi"/>
          <w:color w:val="000000"/>
          <w:sz w:val="20"/>
          <w:szCs w:val="20"/>
        </w:rPr>
      </w:pPr>
      <w:r w:rsidRPr="00B05B83">
        <w:rPr>
          <w:rFonts w:asciiTheme="majorBidi" w:hAnsiTheme="majorBidi" w:cstheme="majorBidi"/>
          <w:color w:val="000000"/>
          <w:sz w:val="20"/>
          <w:szCs w:val="20"/>
        </w:rPr>
        <w:t>Prendre la responsabilité de vos émotions</w:t>
      </w:r>
    </w:p>
    <w:p w:rsidR="00B05B83" w:rsidRDefault="00B05B83" w:rsidP="00B05B83">
      <w:pPr>
        <w:autoSpaceDE w:val="0"/>
        <w:autoSpaceDN w:val="0"/>
        <w:adjustRightInd w:val="0"/>
        <w:rPr>
          <w:rFonts w:asciiTheme="majorBidi" w:hAnsiTheme="majorBidi" w:cstheme="majorBidi"/>
          <w:b/>
          <w:bCs/>
          <w:u w:val="single"/>
        </w:rPr>
      </w:pPr>
    </w:p>
    <w:p w:rsidR="00B05B83" w:rsidRPr="00B05B83" w:rsidRDefault="00B05B83" w:rsidP="00B05B83">
      <w:pPr>
        <w:autoSpaceDE w:val="0"/>
        <w:autoSpaceDN w:val="0"/>
        <w:adjustRightInd w:val="0"/>
        <w:rPr>
          <w:rFonts w:asciiTheme="majorBidi" w:hAnsiTheme="majorBidi" w:cstheme="majorBidi"/>
          <w:b/>
          <w:bCs/>
          <w:u w:val="single"/>
        </w:rPr>
      </w:pPr>
      <w:r w:rsidRPr="00B05B83">
        <w:rPr>
          <w:rFonts w:asciiTheme="majorBidi" w:hAnsiTheme="majorBidi" w:cstheme="majorBidi"/>
          <w:b/>
          <w:bCs/>
          <w:u w:val="single"/>
        </w:rPr>
        <w:t>Ateliers</w:t>
      </w:r>
    </w:p>
    <w:p w:rsidR="00B05B83" w:rsidRPr="009F7183" w:rsidRDefault="00B05B83" w:rsidP="00B05B83">
      <w:pPr>
        <w:pStyle w:val="Paragraphedeliste"/>
        <w:numPr>
          <w:ilvl w:val="0"/>
          <w:numId w:val="13"/>
        </w:numPr>
        <w:tabs>
          <w:tab w:val="left" w:pos="142"/>
        </w:tabs>
        <w:autoSpaceDE w:val="0"/>
        <w:autoSpaceDN w:val="0"/>
        <w:adjustRightInd w:val="0"/>
        <w:ind w:left="0" w:firstLine="0"/>
        <w:rPr>
          <w:rFonts w:ascii="Arial" w:hAnsi="Arial" w:cs="Arial"/>
          <w:color w:val="000000"/>
          <w:sz w:val="18"/>
          <w:szCs w:val="18"/>
          <w:shd w:val="clear" w:color="auto" w:fill="FFFFFF"/>
        </w:rPr>
      </w:pPr>
      <w:r w:rsidRPr="009F7183">
        <w:rPr>
          <w:rFonts w:ascii="Arial" w:hAnsi="Arial" w:cs="Arial"/>
          <w:color w:val="000000"/>
          <w:sz w:val="18"/>
          <w:szCs w:val="18"/>
          <w:shd w:val="clear" w:color="auto" w:fill="FFFFFF"/>
        </w:rPr>
        <w:t>Faire la différence entre communications unilatérales et bilatérales</w:t>
      </w:r>
    </w:p>
    <w:p w:rsidR="00B05B83" w:rsidRPr="009F7183" w:rsidRDefault="00B05B83" w:rsidP="00B05B83">
      <w:pPr>
        <w:pStyle w:val="Paragraphedeliste"/>
        <w:numPr>
          <w:ilvl w:val="0"/>
          <w:numId w:val="13"/>
        </w:numPr>
        <w:tabs>
          <w:tab w:val="left" w:pos="142"/>
        </w:tabs>
        <w:autoSpaceDE w:val="0"/>
        <w:autoSpaceDN w:val="0"/>
        <w:adjustRightInd w:val="0"/>
        <w:ind w:left="0" w:firstLine="0"/>
        <w:rPr>
          <w:rFonts w:ascii="Arial" w:hAnsi="Arial" w:cs="Arial"/>
          <w:color w:val="000000"/>
          <w:sz w:val="18"/>
          <w:szCs w:val="18"/>
          <w:shd w:val="clear" w:color="auto" w:fill="FFFFFF"/>
        </w:rPr>
      </w:pPr>
      <w:r w:rsidRPr="009F7183">
        <w:rPr>
          <w:rFonts w:ascii="Arial" w:hAnsi="Arial" w:cs="Arial"/>
          <w:color w:val="000000"/>
          <w:sz w:val="18"/>
          <w:szCs w:val="18"/>
          <w:shd w:val="clear" w:color="auto" w:fill="FFFFFF"/>
        </w:rPr>
        <w:t>Définir votre style de communication</w:t>
      </w:r>
    </w:p>
    <w:p w:rsidR="00B05B83" w:rsidRPr="009F7183" w:rsidRDefault="00B05B83" w:rsidP="00B05B83">
      <w:pPr>
        <w:pStyle w:val="Paragraphedeliste"/>
        <w:numPr>
          <w:ilvl w:val="0"/>
          <w:numId w:val="13"/>
        </w:numPr>
        <w:tabs>
          <w:tab w:val="left" w:pos="142"/>
        </w:tabs>
        <w:autoSpaceDE w:val="0"/>
        <w:autoSpaceDN w:val="0"/>
        <w:adjustRightInd w:val="0"/>
        <w:ind w:left="0" w:firstLine="0"/>
        <w:rPr>
          <w:rFonts w:ascii="Arial" w:hAnsi="Arial" w:cs="Arial"/>
          <w:color w:val="000000"/>
          <w:sz w:val="18"/>
          <w:szCs w:val="18"/>
          <w:shd w:val="clear" w:color="auto" w:fill="FFFFFF"/>
        </w:rPr>
      </w:pPr>
      <w:r w:rsidRPr="009F7183">
        <w:rPr>
          <w:rFonts w:ascii="Arial" w:hAnsi="Arial" w:cs="Arial"/>
          <w:color w:val="000000"/>
          <w:sz w:val="18"/>
          <w:szCs w:val="18"/>
          <w:shd w:val="clear" w:color="auto" w:fill="FFFFFF"/>
        </w:rPr>
        <w:t>S'entraîner aux techniques d'écoute active</w:t>
      </w:r>
    </w:p>
    <w:p w:rsidR="00B05B83" w:rsidRPr="009F7183" w:rsidRDefault="00B05B83" w:rsidP="00B05B83">
      <w:pPr>
        <w:pStyle w:val="Paragraphedeliste"/>
        <w:numPr>
          <w:ilvl w:val="0"/>
          <w:numId w:val="13"/>
        </w:numPr>
        <w:tabs>
          <w:tab w:val="left" w:pos="142"/>
        </w:tabs>
        <w:autoSpaceDE w:val="0"/>
        <w:autoSpaceDN w:val="0"/>
        <w:adjustRightInd w:val="0"/>
        <w:ind w:left="0" w:firstLine="0"/>
        <w:rPr>
          <w:rFonts w:ascii="Arial" w:hAnsi="Arial" w:cs="Arial"/>
          <w:color w:val="000000"/>
          <w:sz w:val="18"/>
          <w:szCs w:val="18"/>
          <w:shd w:val="clear" w:color="auto" w:fill="FFFFFF"/>
        </w:rPr>
      </w:pPr>
      <w:r w:rsidRPr="009F7183">
        <w:rPr>
          <w:rFonts w:ascii="Arial" w:hAnsi="Arial" w:cs="Arial"/>
          <w:color w:val="000000"/>
          <w:sz w:val="18"/>
          <w:szCs w:val="18"/>
          <w:shd w:val="clear" w:color="auto" w:fill="FFFFFF"/>
        </w:rPr>
        <w:t>Gérer les émotions difficiles grâce à des scénarios vidéo</w:t>
      </w:r>
    </w:p>
    <w:p w:rsidR="00B05B83" w:rsidRPr="009F7183" w:rsidRDefault="00B05B83" w:rsidP="00B05B83">
      <w:pPr>
        <w:pStyle w:val="Paragraphedeliste"/>
        <w:numPr>
          <w:ilvl w:val="0"/>
          <w:numId w:val="13"/>
        </w:numPr>
        <w:tabs>
          <w:tab w:val="left" w:pos="142"/>
        </w:tabs>
        <w:autoSpaceDE w:val="0"/>
        <w:autoSpaceDN w:val="0"/>
        <w:adjustRightInd w:val="0"/>
        <w:ind w:left="0" w:firstLine="0"/>
        <w:rPr>
          <w:rFonts w:ascii="Arial" w:hAnsi="Arial" w:cs="Arial"/>
          <w:color w:val="000000"/>
          <w:sz w:val="18"/>
          <w:szCs w:val="18"/>
          <w:shd w:val="clear" w:color="auto" w:fill="FFFFFF"/>
        </w:rPr>
      </w:pPr>
      <w:r w:rsidRPr="009F7183">
        <w:rPr>
          <w:rFonts w:ascii="Arial" w:hAnsi="Arial" w:cs="Arial"/>
          <w:color w:val="000000"/>
          <w:sz w:val="18"/>
          <w:szCs w:val="18"/>
          <w:shd w:val="clear" w:color="auto" w:fill="FFFFFF"/>
        </w:rPr>
        <w:t>Mettre au jour les filtres personnels grâce à des jeux de simulation</w:t>
      </w:r>
    </w:p>
    <w:p w:rsidR="00B05B83" w:rsidRPr="00167AB9" w:rsidRDefault="00B05B83" w:rsidP="007201C8">
      <w:pPr>
        <w:autoSpaceDE w:val="0"/>
        <w:autoSpaceDN w:val="0"/>
        <w:adjustRightInd w:val="0"/>
        <w:ind w:left="284" w:hanging="142"/>
        <w:rPr>
          <w:rFonts w:asciiTheme="majorBidi" w:hAnsiTheme="majorBidi" w:cstheme="majorBidi"/>
          <w:b/>
          <w:bCs/>
          <w:u w:val="single"/>
        </w:rPr>
      </w:pPr>
    </w:p>
    <w:sectPr w:rsidR="00B05B83" w:rsidRPr="00167AB9" w:rsidSect="007C5D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ockwell">
    <w:panose1 w:val="020606030202050204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5566"/>
    <w:multiLevelType w:val="multilevel"/>
    <w:tmpl w:val="E70C4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C1E82"/>
    <w:multiLevelType w:val="multilevel"/>
    <w:tmpl w:val="416C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34E28"/>
    <w:multiLevelType w:val="multilevel"/>
    <w:tmpl w:val="4096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F5508"/>
    <w:multiLevelType w:val="multilevel"/>
    <w:tmpl w:val="D270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F1090"/>
    <w:multiLevelType w:val="multilevel"/>
    <w:tmpl w:val="2820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D6BC1"/>
    <w:multiLevelType w:val="multilevel"/>
    <w:tmpl w:val="3644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8B6422"/>
    <w:multiLevelType w:val="multilevel"/>
    <w:tmpl w:val="5400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2A3AB0"/>
    <w:multiLevelType w:val="multilevel"/>
    <w:tmpl w:val="6E0E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2E3534"/>
    <w:multiLevelType w:val="multilevel"/>
    <w:tmpl w:val="92506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F5107"/>
    <w:multiLevelType w:val="multilevel"/>
    <w:tmpl w:val="5DDE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1D812E8"/>
    <w:multiLevelType w:val="hybridMultilevel"/>
    <w:tmpl w:val="0F126A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29414C89"/>
    <w:multiLevelType w:val="multilevel"/>
    <w:tmpl w:val="E768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98D437A"/>
    <w:multiLevelType w:val="hybridMultilevel"/>
    <w:tmpl w:val="0F848E68"/>
    <w:lvl w:ilvl="0" w:tplc="E49833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A10581F"/>
    <w:multiLevelType w:val="multilevel"/>
    <w:tmpl w:val="BDF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AE3F67"/>
    <w:multiLevelType w:val="multilevel"/>
    <w:tmpl w:val="26CE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134860"/>
    <w:multiLevelType w:val="multilevel"/>
    <w:tmpl w:val="86527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3B96D91"/>
    <w:multiLevelType w:val="multilevel"/>
    <w:tmpl w:val="2F0E8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9F513E"/>
    <w:multiLevelType w:val="multilevel"/>
    <w:tmpl w:val="FC04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A1062C"/>
    <w:multiLevelType w:val="multilevel"/>
    <w:tmpl w:val="079E8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F7C1A"/>
    <w:multiLevelType w:val="multilevel"/>
    <w:tmpl w:val="8CDC5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7F3589"/>
    <w:multiLevelType w:val="multilevel"/>
    <w:tmpl w:val="0F96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AD529F"/>
    <w:multiLevelType w:val="hybridMultilevel"/>
    <w:tmpl w:val="D97AD300"/>
    <w:lvl w:ilvl="0" w:tplc="70468F24">
      <w:start w:val="3"/>
      <w:numFmt w:val="decimal"/>
      <w:lvlText w:val="%1-"/>
      <w:lvlJc w:val="left"/>
      <w:pPr>
        <w:ind w:left="720" w:hanging="360"/>
      </w:pPr>
      <w:rPr>
        <w:rFonts w:hint="default"/>
        <w:b/>
        <w:color w:val="0000FF"/>
        <w:sz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5A20238"/>
    <w:multiLevelType w:val="multilevel"/>
    <w:tmpl w:val="AF7E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83709"/>
    <w:multiLevelType w:val="multilevel"/>
    <w:tmpl w:val="3F44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E8A12DF"/>
    <w:multiLevelType w:val="multilevel"/>
    <w:tmpl w:val="4B80F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C11F0C"/>
    <w:multiLevelType w:val="multilevel"/>
    <w:tmpl w:val="8FDA3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866EB9"/>
    <w:multiLevelType w:val="hybridMultilevel"/>
    <w:tmpl w:val="868E94DE"/>
    <w:lvl w:ilvl="0" w:tplc="5BB0E9F8">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8B16F8"/>
    <w:multiLevelType w:val="multilevel"/>
    <w:tmpl w:val="CEF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6D359D9"/>
    <w:multiLevelType w:val="multilevel"/>
    <w:tmpl w:val="6204A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74FAC"/>
    <w:multiLevelType w:val="multilevel"/>
    <w:tmpl w:val="A31AC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1"/>
  </w:num>
  <w:num w:numId="3">
    <w:abstractNumId w:val="12"/>
  </w:num>
  <w:num w:numId="4">
    <w:abstractNumId w:val="3"/>
  </w:num>
  <w:num w:numId="5">
    <w:abstractNumId w:val="15"/>
  </w:num>
  <w:num w:numId="6">
    <w:abstractNumId w:val="27"/>
  </w:num>
  <w:num w:numId="7">
    <w:abstractNumId w:val="9"/>
  </w:num>
  <w:num w:numId="8">
    <w:abstractNumId w:val="23"/>
  </w:num>
  <w:num w:numId="9">
    <w:abstractNumId w:val="18"/>
  </w:num>
  <w:num w:numId="10">
    <w:abstractNumId w:val="29"/>
  </w:num>
  <w:num w:numId="11">
    <w:abstractNumId w:val="11"/>
  </w:num>
  <w:num w:numId="12">
    <w:abstractNumId w:val="20"/>
  </w:num>
  <w:num w:numId="13">
    <w:abstractNumId w:val="10"/>
  </w:num>
  <w:num w:numId="14">
    <w:abstractNumId w:val="1"/>
  </w:num>
  <w:num w:numId="15">
    <w:abstractNumId w:val="24"/>
  </w:num>
  <w:num w:numId="16">
    <w:abstractNumId w:val="8"/>
  </w:num>
  <w:num w:numId="17">
    <w:abstractNumId w:val="0"/>
  </w:num>
  <w:num w:numId="18">
    <w:abstractNumId w:val="14"/>
  </w:num>
  <w:num w:numId="19">
    <w:abstractNumId w:val="16"/>
  </w:num>
  <w:num w:numId="20">
    <w:abstractNumId w:val="2"/>
  </w:num>
  <w:num w:numId="21">
    <w:abstractNumId w:val="28"/>
  </w:num>
  <w:num w:numId="22">
    <w:abstractNumId w:val="25"/>
  </w:num>
  <w:num w:numId="23">
    <w:abstractNumId w:val="6"/>
  </w:num>
  <w:num w:numId="24">
    <w:abstractNumId w:val="5"/>
  </w:num>
  <w:num w:numId="25">
    <w:abstractNumId w:val="17"/>
  </w:num>
  <w:num w:numId="26">
    <w:abstractNumId w:val="7"/>
  </w:num>
  <w:num w:numId="27">
    <w:abstractNumId w:val="4"/>
  </w:num>
  <w:num w:numId="28">
    <w:abstractNumId w:val="19"/>
  </w:num>
  <w:num w:numId="29">
    <w:abstractNumId w:val="1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6E37"/>
    <w:rsid w:val="00041B9F"/>
    <w:rsid w:val="000A0858"/>
    <w:rsid w:val="0011352F"/>
    <w:rsid w:val="00167AB9"/>
    <w:rsid w:val="00175501"/>
    <w:rsid w:val="00176649"/>
    <w:rsid w:val="003A7745"/>
    <w:rsid w:val="003C4C07"/>
    <w:rsid w:val="004058CE"/>
    <w:rsid w:val="00416D4F"/>
    <w:rsid w:val="004403AB"/>
    <w:rsid w:val="004E4C11"/>
    <w:rsid w:val="005B7236"/>
    <w:rsid w:val="00640B29"/>
    <w:rsid w:val="00661BA9"/>
    <w:rsid w:val="007201C8"/>
    <w:rsid w:val="00752E81"/>
    <w:rsid w:val="007C5D5D"/>
    <w:rsid w:val="009F7183"/>
    <w:rsid w:val="00A56890"/>
    <w:rsid w:val="00AD22AD"/>
    <w:rsid w:val="00B05B83"/>
    <w:rsid w:val="00C31BC8"/>
    <w:rsid w:val="00DD786E"/>
    <w:rsid w:val="00DF09D7"/>
    <w:rsid w:val="00E26E37"/>
    <w:rsid w:val="00E37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37"/>
    <w:pPr>
      <w:spacing w:after="0" w:line="240" w:lineRule="auto"/>
    </w:pPr>
    <w:rPr>
      <w:rFonts w:ascii="Times New Roman" w:eastAsia="Times New Roman" w:hAnsi="Times New Roman" w:cs="Times New Roman"/>
      <w:sz w:val="24"/>
      <w:szCs w:val="24"/>
      <w:lang w:eastAsia="fr-FR" w:bidi="ar-TN"/>
    </w:rPr>
  </w:style>
  <w:style w:type="paragraph" w:styleId="Titre2">
    <w:name w:val="heading 2"/>
    <w:basedOn w:val="Normal"/>
    <w:next w:val="Normal"/>
    <w:link w:val="Titre2Car"/>
    <w:uiPriority w:val="9"/>
    <w:semiHidden/>
    <w:unhideWhenUsed/>
    <w:qFormat/>
    <w:rsid w:val="00B05B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167AB9"/>
    <w:pPr>
      <w:spacing w:before="100" w:beforeAutospacing="1" w:after="100" w:afterAutospacing="1"/>
      <w:outlineLvl w:val="2"/>
    </w:pPr>
    <w:rPr>
      <w:b/>
      <w:bCs/>
      <w:sz w:val="27"/>
      <w:szCs w:val="27"/>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6E37"/>
    <w:pPr>
      <w:spacing w:after="200" w:line="276" w:lineRule="auto"/>
      <w:ind w:left="720"/>
      <w:contextualSpacing/>
    </w:pPr>
    <w:rPr>
      <w:rFonts w:ascii="Rockwell" w:hAnsi="Rockwell"/>
      <w:sz w:val="22"/>
      <w:szCs w:val="22"/>
      <w:lang w:eastAsia="en-US" w:bidi="en-US"/>
    </w:rPr>
  </w:style>
  <w:style w:type="character" w:styleId="lev">
    <w:name w:val="Strong"/>
    <w:uiPriority w:val="22"/>
    <w:qFormat/>
    <w:rsid w:val="00E26E37"/>
    <w:rPr>
      <w:b/>
      <w:bCs/>
    </w:rPr>
  </w:style>
  <w:style w:type="paragraph" w:customStyle="1" w:styleId="texteifgp2">
    <w:name w:val="texteifgp2"/>
    <w:basedOn w:val="Normal"/>
    <w:rsid w:val="00E26E37"/>
    <w:pPr>
      <w:spacing w:before="100" w:beforeAutospacing="1" w:after="100" w:afterAutospacing="1"/>
    </w:pPr>
    <w:rPr>
      <w:lang w:bidi="ar-SA"/>
    </w:rPr>
  </w:style>
  <w:style w:type="paragraph" w:customStyle="1" w:styleId="Default">
    <w:name w:val="Default"/>
    <w:rsid w:val="00E26E37"/>
    <w:pPr>
      <w:autoSpaceDE w:val="0"/>
      <w:autoSpaceDN w:val="0"/>
      <w:adjustRightInd w:val="0"/>
      <w:spacing w:after="0" w:line="240" w:lineRule="auto"/>
    </w:pPr>
    <w:rPr>
      <w:rFonts w:ascii="Times New Roman" w:eastAsia="Times New Roman" w:hAnsi="Times New Roman" w:cs="Times New Roman"/>
      <w:color w:val="000000"/>
      <w:sz w:val="24"/>
      <w:szCs w:val="24"/>
      <w:lang w:eastAsia="fr-FR"/>
    </w:rPr>
  </w:style>
  <w:style w:type="character" w:customStyle="1" w:styleId="souligner1">
    <w:name w:val="souligner1"/>
    <w:basedOn w:val="Policepardfaut"/>
    <w:rsid w:val="00E26E37"/>
    <w:rPr>
      <w:u w:val="single"/>
    </w:rPr>
  </w:style>
  <w:style w:type="paragraph" w:customStyle="1" w:styleId="Contenudetableau">
    <w:name w:val="Contenu de tableau"/>
    <w:basedOn w:val="Normal"/>
    <w:rsid w:val="004403AB"/>
    <w:pPr>
      <w:widowControl w:val="0"/>
      <w:suppressLineNumbers/>
      <w:suppressAutoHyphens/>
    </w:pPr>
    <w:rPr>
      <w:rFonts w:eastAsia="SimSun" w:cs="Mangal"/>
      <w:kern w:val="1"/>
      <w:lang w:eastAsia="hi-IN" w:bidi="hi-IN"/>
    </w:rPr>
  </w:style>
  <w:style w:type="character" w:customStyle="1" w:styleId="txtnormalblue">
    <w:name w:val="txt_normalblue"/>
    <w:basedOn w:val="Policepardfaut"/>
    <w:rsid w:val="000A0858"/>
  </w:style>
  <w:style w:type="character" w:customStyle="1" w:styleId="Titre3Car">
    <w:name w:val="Titre 3 Car"/>
    <w:basedOn w:val="Policepardfaut"/>
    <w:link w:val="Titre3"/>
    <w:uiPriority w:val="9"/>
    <w:rsid w:val="00167AB9"/>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67AB9"/>
    <w:pPr>
      <w:spacing w:before="100" w:beforeAutospacing="1" w:after="100" w:afterAutospacing="1"/>
    </w:pPr>
    <w:rPr>
      <w:lang w:bidi="ar-SA"/>
    </w:rPr>
  </w:style>
  <w:style w:type="character" w:customStyle="1" w:styleId="apple-converted-space">
    <w:name w:val="apple-converted-space"/>
    <w:basedOn w:val="Policepardfaut"/>
    <w:rsid w:val="00167AB9"/>
  </w:style>
  <w:style w:type="paragraph" w:customStyle="1" w:styleId="2">
    <w:name w:val="2"/>
    <w:basedOn w:val="Titre"/>
    <w:rsid w:val="003C4C07"/>
    <w:pPr>
      <w:pBdr>
        <w:bottom w:val="none" w:sz="0" w:space="0" w:color="auto"/>
      </w:pBdr>
      <w:bidi/>
      <w:spacing w:after="0"/>
      <w:contextualSpacing w:val="0"/>
      <w:jc w:val="center"/>
    </w:pPr>
    <w:rPr>
      <w:rFonts w:ascii="Times New Roman" w:eastAsia="Times New Roman" w:hAnsi="Times New Roman" w:cs="Simplified Arabic"/>
      <w:b/>
      <w:bCs/>
      <w:color w:val="0000FF"/>
      <w:spacing w:val="0"/>
      <w:kern w:val="0"/>
      <w:sz w:val="36"/>
      <w:szCs w:val="36"/>
    </w:rPr>
  </w:style>
  <w:style w:type="paragraph" w:customStyle="1" w:styleId="7">
    <w:name w:val="7"/>
    <w:basedOn w:val="2"/>
    <w:rsid w:val="003C4C07"/>
    <w:pPr>
      <w:bidi w:val="0"/>
      <w:jc w:val="both"/>
    </w:pPr>
    <w:rPr>
      <w:rFonts w:cs="Times New Roman"/>
      <w:color w:val="FF0000"/>
      <w:sz w:val="22"/>
      <w:szCs w:val="22"/>
      <w:lang w:bidi="ar-SA"/>
    </w:rPr>
  </w:style>
  <w:style w:type="paragraph" w:styleId="Titre">
    <w:name w:val="Title"/>
    <w:basedOn w:val="Normal"/>
    <w:next w:val="Normal"/>
    <w:link w:val="TitreCar"/>
    <w:uiPriority w:val="10"/>
    <w:qFormat/>
    <w:rsid w:val="003C4C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C4C07"/>
    <w:rPr>
      <w:rFonts w:asciiTheme="majorHAnsi" w:eastAsiaTheme="majorEastAsia" w:hAnsiTheme="majorHAnsi" w:cstheme="majorBidi"/>
      <w:color w:val="17365D" w:themeColor="text2" w:themeShade="BF"/>
      <w:spacing w:val="5"/>
      <w:kern w:val="28"/>
      <w:sz w:val="52"/>
      <w:szCs w:val="52"/>
      <w:lang w:eastAsia="fr-FR" w:bidi="ar-TN"/>
    </w:rPr>
  </w:style>
  <w:style w:type="character" w:styleId="Lienhypertexte">
    <w:name w:val="Hyperlink"/>
    <w:basedOn w:val="Policepardfaut"/>
    <w:uiPriority w:val="99"/>
    <w:semiHidden/>
    <w:unhideWhenUsed/>
    <w:rsid w:val="007201C8"/>
    <w:rPr>
      <w:color w:val="0000FF"/>
      <w:u w:val="single"/>
    </w:rPr>
  </w:style>
  <w:style w:type="character" w:customStyle="1" w:styleId="Titre2Car">
    <w:name w:val="Titre 2 Car"/>
    <w:basedOn w:val="Policepardfaut"/>
    <w:link w:val="Titre2"/>
    <w:uiPriority w:val="9"/>
    <w:semiHidden/>
    <w:rsid w:val="00B05B83"/>
    <w:rPr>
      <w:rFonts w:asciiTheme="majorHAnsi" w:eastAsiaTheme="majorEastAsia" w:hAnsiTheme="majorHAnsi" w:cstheme="majorBidi"/>
      <w:b/>
      <w:bCs/>
      <w:color w:val="4F81BD" w:themeColor="accent1"/>
      <w:sz w:val="26"/>
      <w:szCs w:val="26"/>
      <w:lang w:eastAsia="fr-FR" w:bidi="ar-TN"/>
    </w:rPr>
  </w:style>
</w:styles>
</file>

<file path=word/webSettings.xml><?xml version="1.0" encoding="utf-8"?>
<w:webSettings xmlns:r="http://schemas.openxmlformats.org/officeDocument/2006/relationships" xmlns:w="http://schemas.openxmlformats.org/wordprocessingml/2006/main">
  <w:divs>
    <w:div w:id="510487732">
      <w:bodyDiv w:val="1"/>
      <w:marLeft w:val="0"/>
      <w:marRight w:val="0"/>
      <w:marTop w:val="0"/>
      <w:marBottom w:val="0"/>
      <w:divBdr>
        <w:top w:val="none" w:sz="0" w:space="0" w:color="auto"/>
        <w:left w:val="none" w:sz="0" w:space="0" w:color="auto"/>
        <w:bottom w:val="none" w:sz="0" w:space="0" w:color="auto"/>
        <w:right w:val="none" w:sz="0" w:space="0" w:color="auto"/>
      </w:divBdr>
    </w:div>
    <w:div w:id="733817730">
      <w:bodyDiv w:val="1"/>
      <w:marLeft w:val="0"/>
      <w:marRight w:val="0"/>
      <w:marTop w:val="0"/>
      <w:marBottom w:val="0"/>
      <w:divBdr>
        <w:top w:val="none" w:sz="0" w:space="0" w:color="auto"/>
        <w:left w:val="none" w:sz="0" w:space="0" w:color="auto"/>
        <w:bottom w:val="none" w:sz="0" w:space="0" w:color="auto"/>
        <w:right w:val="none" w:sz="0" w:space="0" w:color="auto"/>
      </w:divBdr>
    </w:div>
    <w:div w:id="1134371347">
      <w:bodyDiv w:val="1"/>
      <w:marLeft w:val="0"/>
      <w:marRight w:val="0"/>
      <w:marTop w:val="0"/>
      <w:marBottom w:val="0"/>
      <w:divBdr>
        <w:top w:val="none" w:sz="0" w:space="0" w:color="auto"/>
        <w:left w:val="none" w:sz="0" w:space="0" w:color="auto"/>
        <w:bottom w:val="none" w:sz="0" w:space="0" w:color="auto"/>
        <w:right w:val="none" w:sz="0" w:space="0" w:color="auto"/>
      </w:divBdr>
      <w:divsChild>
        <w:div w:id="1706903079">
          <w:marLeft w:val="0"/>
          <w:marRight w:val="0"/>
          <w:marTop w:val="200"/>
          <w:marBottom w:val="100"/>
          <w:divBdr>
            <w:top w:val="none" w:sz="0" w:space="0" w:color="auto"/>
            <w:left w:val="none" w:sz="0" w:space="0" w:color="auto"/>
            <w:bottom w:val="none" w:sz="0" w:space="0" w:color="auto"/>
            <w:right w:val="none" w:sz="0" w:space="0" w:color="auto"/>
          </w:divBdr>
        </w:div>
        <w:div w:id="1646205805">
          <w:marLeft w:val="0"/>
          <w:marRight w:val="0"/>
          <w:marTop w:val="200"/>
          <w:marBottom w:val="100"/>
          <w:divBdr>
            <w:top w:val="none" w:sz="0" w:space="0" w:color="auto"/>
            <w:left w:val="none" w:sz="0" w:space="0" w:color="auto"/>
            <w:bottom w:val="none" w:sz="0" w:space="0" w:color="auto"/>
            <w:right w:val="none" w:sz="0" w:space="0" w:color="auto"/>
          </w:divBdr>
        </w:div>
      </w:divsChild>
    </w:div>
    <w:div w:id="1444878420">
      <w:bodyDiv w:val="1"/>
      <w:marLeft w:val="0"/>
      <w:marRight w:val="0"/>
      <w:marTop w:val="0"/>
      <w:marBottom w:val="0"/>
      <w:divBdr>
        <w:top w:val="none" w:sz="0" w:space="0" w:color="auto"/>
        <w:left w:val="none" w:sz="0" w:space="0" w:color="auto"/>
        <w:bottom w:val="none" w:sz="0" w:space="0" w:color="auto"/>
        <w:right w:val="none" w:sz="0" w:space="0" w:color="auto"/>
      </w:divBdr>
    </w:div>
    <w:div w:id="153291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1348</Words>
  <Characters>7416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benammar</dc:creator>
  <cp:lastModifiedBy>FATMA</cp:lastModifiedBy>
  <cp:revision>7</cp:revision>
  <dcterms:created xsi:type="dcterms:W3CDTF">2014-05-16T15:38:00Z</dcterms:created>
  <dcterms:modified xsi:type="dcterms:W3CDTF">2014-05-18T11:24:00Z</dcterms:modified>
</cp:coreProperties>
</file>