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r>
        <w:rPr>
          <w:b/>
          <w:bCs/>
          <w:color w:val="810000"/>
          <w:sz w:val="32"/>
          <w:szCs w:val="32"/>
          <w:lang w:bidi="ar-SA"/>
        </w:rPr>
        <w:t xml:space="preserve">Fiche descriptive d’une unité d’enseignement (UE) </w:t>
      </w:r>
    </w:p>
    <w:p w:rsidR="00E26E37" w:rsidRPr="00CE7B51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proofErr w:type="gramStart"/>
      <w:r>
        <w:rPr>
          <w:b/>
          <w:bCs/>
          <w:color w:val="810000"/>
          <w:sz w:val="28"/>
          <w:szCs w:val="28"/>
          <w:lang w:bidi="ar-SA"/>
        </w:rPr>
        <w:t>et</w:t>
      </w:r>
      <w:proofErr w:type="gramEnd"/>
      <w:r>
        <w:rPr>
          <w:b/>
          <w:bCs/>
          <w:color w:val="810000"/>
          <w:sz w:val="28"/>
          <w:szCs w:val="28"/>
          <w:lang w:bidi="ar-SA"/>
        </w:rPr>
        <w:t xml:space="preserve"> de ses éléments constitutifs (ECUE)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Intitulé de l’UE</w:t>
      </w:r>
    </w:p>
    <w:p w:rsidR="000C32BB" w:rsidRDefault="000C32BB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 w:rsidRPr="000C32BB">
        <w:rPr>
          <w:b/>
          <w:bCs/>
          <w:color w:val="0000FF"/>
          <w:sz w:val="28"/>
          <w:szCs w:val="28"/>
          <w:lang w:bidi="ar-SA"/>
        </w:rPr>
        <w:t>Monétique et SCM (</w:t>
      </w:r>
      <w:proofErr w:type="spellStart"/>
      <w:r w:rsidRPr="000C32BB">
        <w:rPr>
          <w:b/>
          <w:bCs/>
          <w:color w:val="0000FF"/>
          <w:sz w:val="28"/>
          <w:szCs w:val="28"/>
          <w:lang w:bidi="ar-SA"/>
        </w:rPr>
        <w:t>supply</w:t>
      </w:r>
      <w:proofErr w:type="spellEnd"/>
      <w:r w:rsidRPr="000C32BB">
        <w:rPr>
          <w:b/>
          <w:bCs/>
          <w:color w:val="0000FF"/>
          <w:sz w:val="28"/>
          <w:szCs w:val="28"/>
          <w:lang w:bidi="ar-SA"/>
        </w:rPr>
        <w:t xml:space="preserve"> </w:t>
      </w:r>
      <w:proofErr w:type="spellStart"/>
      <w:r w:rsidRPr="000C32BB">
        <w:rPr>
          <w:b/>
          <w:bCs/>
          <w:color w:val="0000FF"/>
          <w:sz w:val="28"/>
          <w:szCs w:val="28"/>
          <w:lang w:bidi="ar-SA"/>
        </w:rPr>
        <w:t>chain</w:t>
      </w:r>
      <w:proofErr w:type="spellEnd"/>
      <w:r w:rsidRPr="000C32BB">
        <w:rPr>
          <w:b/>
          <w:bCs/>
          <w:color w:val="0000FF"/>
          <w:sz w:val="28"/>
          <w:szCs w:val="28"/>
          <w:lang w:bidi="ar-SA"/>
        </w:rPr>
        <w:t xml:space="preserve"> management)</w:t>
      </w:r>
    </w:p>
    <w:p w:rsidR="000C32BB" w:rsidRDefault="000C32BB" w:rsidP="00D1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</w:p>
    <w:p w:rsidR="00E26E37" w:rsidRPr="00CE7B51" w:rsidRDefault="00E26E37" w:rsidP="00A568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Nombre de crédit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s…0</w:t>
      </w:r>
      <w:r w:rsidR="00D14456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7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</w:t>
      </w:r>
    </w:p>
    <w:p w:rsidR="00E26E37" w:rsidRDefault="00E26E37" w:rsidP="000C32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Code UE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…….</w:t>
      </w:r>
      <w:proofErr w:type="gramStart"/>
      <w:r w:rsidRPr="004403AB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UE</w:t>
      </w:r>
      <w:r w:rsidR="00F36FCE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3</w:t>
      </w:r>
      <w:r w:rsidR="000C32BB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2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.……….</w:t>
      </w:r>
      <w:proofErr w:type="gramEnd"/>
    </w:p>
    <w:p w:rsidR="00E26E37" w:rsidRDefault="00E26E37" w:rsidP="00E26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b/>
          <w:bCs/>
          <w:lang w:bidi="ar-SA"/>
        </w:rPr>
        <w:t xml:space="preserve">Université : </w:t>
      </w:r>
      <w:r w:rsidRPr="00BF429F">
        <w:rPr>
          <w:b/>
          <w:bCs/>
          <w:color w:val="0000FF"/>
          <w:lang w:bidi="ar-SA"/>
        </w:rPr>
        <w:t xml:space="preserve">Université de </w:t>
      </w:r>
      <w:proofErr w:type="spellStart"/>
      <w:r>
        <w:rPr>
          <w:b/>
          <w:bCs/>
          <w:color w:val="0000FF"/>
          <w:lang w:bidi="ar-SA"/>
        </w:rPr>
        <w:t>Manouba</w:t>
      </w:r>
      <w:proofErr w:type="spellEnd"/>
      <w:r>
        <w:rPr>
          <w:b/>
          <w:bCs/>
          <w:lang w:bidi="ar-SA"/>
        </w:rPr>
        <w:t xml:space="preserve"> ……Etablissement : ESEN </w:t>
      </w:r>
    </w:p>
    <w:p w:rsidR="00E26E37" w:rsidRDefault="00E26E37" w:rsidP="00E26E37">
      <w:pPr>
        <w:autoSpaceDE w:val="0"/>
        <w:autoSpaceDN w:val="0"/>
        <w:adjustRightInd w:val="0"/>
        <w:rPr>
          <w:b/>
          <w:bCs/>
          <w:lang w:bidi="ar-SA"/>
        </w:rPr>
      </w:pP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523"/>
      </w:tblGrid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E033D4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 xml:space="preserve">Domaine de formation : </w:t>
            </w:r>
            <w:r w:rsidR="00E033D4">
              <w:rPr>
                <w:b/>
                <w:bCs/>
                <w:color w:val="0000FF"/>
                <w:lang w:bidi="ar-SA"/>
              </w:rPr>
              <w:t xml:space="preserve">Sciences et Technologies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E033D4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Mention :</w:t>
            </w:r>
            <w:r>
              <w:rPr>
                <w:b/>
                <w:bCs/>
                <w:lang w:bidi="ar-SA"/>
              </w:rPr>
              <w:t xml:space="preserve"> </w:t>
            </w:r>
            <w:r w:rsidR="00E033D4">
              <w:rPr>
                <w:b/>
                <w:bCs/>
                <w:lang w:bidi="ar-SA"/>
              </w:rPr>
              <w:t>Informatique de Gestion</w:t>
            </w:r>
          </w:p>
        </w:tc>
      </w:tr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Diplôme et Parcours</w:t>
            </w:r>
          </w:p>
          <w:p w:rsidR="00E26E37" w:rsidRPr="00404595" w:rsidRDefault="00E26E37" w:rsidP="00E033D4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>
              <w:rPr>
                <w:b/>
                <w:bCs/>
                <w:color w:val="32519E"/>
                <w:lang w:bidi="ar-SA"/>
              </w:rPr>
              <w:t>Mastère</w:t>
            </w:r>
            <w:r w:rsidRPr="00404595">
              <w:rPr>
                <w:b/>
                <w:bCs/>
                <w:color w:val="32519E"/>
                <w:lang w:bidi="ar-SA"/>
              </w:rPr>
              <w:t xml:space="preserve"> Professionnel</w:t>
            </w:r>
            <w:r w:rsidRPr="00404595">
              <w:rPr>
                <w:b/>
                <w:bCs/>
                <w:lang w:bidi="ar-SA"/>
              </w:rPr>
              <w:t xml:space="preserve"> ……Parcours : </w:t>
            </w:r>
            <w:r w:rsidR="00E033D4">
              <w:rPr>
                <w:b/>
                <w:bCs/>
                <w:lang w:bidi="ar-SA"/>
              </w:rPr>
              <w:t>Commerce Electronique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0C32BB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Semestre…</w:t>
            </w:r>
            <w:r w:rsidRPr="00404595">
              <w:rPr>
                <w:b/>
                <w:bCs/>
                <w:color w:val="32519E"/>
                <w:lang w:bidi="ar-SA"/>
              </w:rPr>
              <w:t>S</w:t>
            </w:r>
            <w:r w:rsidR="000C32BB">
              <w:rPr>
                <w:b/>
                <w:bCs/>
                <w:color w:val="32519E"/>
                <w:lang w:bidi="ar-SA"/>
              </w:rPr>
              <w:t>3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lang w:bidi="ar-SA"/>
        </w:rPr>
      </w:pPr>
    </w:p>
    <w:p w:rsidR="00E26E37" w:rsidRPr="00BB7367" w:rsidRDefault="00E26E37" w:rsidP="00E26E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Objectifs de l’UE </w:t>
      </w:r>
      <w:r w:rsidRPr="00BB7367">
        <w:rPr>
          <w:rFonts w:ascii="Times New Roman" w:hAnsi="Times New Roman"/>
          <w:color w:val="0000FF"/>
          <w:sz w:val="24"/>
          <w:szCs w:val="24"/>
          <w:lang w:bidi="ar-SA"/>
        </w:rPr>
        <w:t>(Savoirs, aptitudes et compétences</w:t>
      </w: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)</w:t>
      </w:r>
    </w:p>
    <w:p w:rsidR="00E26E37" w:rsidRDefault="00E26E37" w:rsidP="00E033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 xml:space="preserve">    </w:t>
      </w:r>
      <w:r w:rsidR="00E033D4">
        <w:rPr>
          <w:lang w:bidi="ar-SA"/>
        </w:rPr>
        <w:t>C</w:t>
      </w:r>
      <w:r w:rsidR="005B7236">
        <w:rPr>
          <w:lang w:bidi="ar-SA"/>
        </w:rPr>
        <w:t xml:space="preserve">omprendre et de gérer les </w:t>
      </w:r>
      <w:r w:rsidR="00D14456">
        <w:rPr>
          <w:lang w:bidi="ar-SA"/>
        </w:rPr>
        <w:t>fonctions avancé</w:t>
      </w:r>
      <w:r w:rsidR="00E033D4">
        <w:rPr>
          <w:lang w:bidi="ar-SA"/>
        </w:rPr>
        <w:t>e</w:t>
      </w:r>
      <w:r w:rsidR="00D14456">
        <w:rPr>
          <w:lang w:bidi="ar-SA"/>
        </w:rPr>
        <w:t xml:space="preserve">s </w:t>
      </w:r>
      <w:r w:rsidR="000C32BB">
        <w:rPr>
          <w:lang w:bidi="ar-SA"/>
        </w:rPr>
        <w:t>de la monétique et SCM</w:t>
      </w:r>
      <w:r w:rsidR="005B7236">
        <w:rPr>
          <w:lang w:bidi="ar-SA"/>
        </w:rPr>
        <w:t>.</w:t>
      </w:r>
    </w:p>
    <w:p w:rsidR="00E627B2" w:rsidRDefault="00934242" w:rsidP="009342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 xml:space="preserve">A l’issue de la formation, </w:t>
      </w:r>
      <w:r w:rsidR="00E627B2" w:rsidRPr="00E627B2">
        <w:rPr>
          <w:lang w:bidi="ar-SA"/>
        </w:rPr>
        <w:t xml:space="preserve">l’étudiant </w:t>
      </w:r>
      <w:r>
        <w:rPr>
          <w:lang w:bidi="ar-SA"/>
        </w:rPr>
        <w:t>acquiert la compétence d’i</w:t>
      </w:r>
      <w:r w:rsidR="00E627B2" w:rsidRPr="00E627B2">
        <w:rPr>
          <w:lang w:bidi="ar-SA"/>
        </w:rPr>
        <w:t xml:space="preserve">ntégrer les </w:t>
      </w:r>
      <w:r>
        <w:rPr>
          <w:lang w:bidi="ar-SA"/>
        </w:rPr>
        <w:t>outils</w:t>
      </w:r>
      <w:r w:rsidR="00E627B2" w:rsidRPr="00E627B2">
        <w:rPr>
          <w:lang w:bidi="ar-SA"/>
        </w:rPr>
        <w:t xml:space="preserve"> du </w:t>
      </w:r>
      <w:proofErr w:type="spellStart"/>
      <w:r>
        <w:rPr>
          <w:lang w:bidi="ar-SA"/>
        </w:rPr>
        <w:t>Supply</w:t>
      </w:r>
      <w:proofErr w:type="spellEnd"/>
      <w:r>
        <w:rPr>
          <w:lang w:bidi="ar-SA"/>
        </w:rPr>
        <w:t xml:space="preserve"> Chain Management et de paiement électronique </w:t>
      </w:r>
      <w:r w:rsidR="00E627B2" w:rsidRPr="00E627B2">
        <w:rPr>
          <w:lang w:bidi="ar-SA"/>
        </w:rPr>
        <w:t>dans l</w:t>
      </w:r>
      <w:r>
        <w:rPr>
          <w:lang w:bidi="ar-SA"/>
        </w:rPr>
        <w:t>es projets e-business.</w:t>
      </w:r>
    </w:p>
    <w:p w:rsidR="00E26E37" w:rsidRDefault="00E26E37" w:rsidP="00E26E37">
      <w:pPr>
        <w:numPr>
          <w:ilvl w:val="0"/>
          <w:numId w:val="2"/>
        </w:numPr>
        <w:autoSpaceDE w:val="0"/>
        <w:autoSpaceDN w:val="0"/>
        <w:adjustRightInd w:val="0"/>
        <w:ind w:left="330" w:hanging="330"/>
        <w:rPr>
          <w:color w:val="0000FF"/>
          <w:lang w:bidi="ar-SA"/>
        </w:rPr>
      </w:pPr>
      <w:r>
        <w:rPr>
          <w:b/>
          <w:bCs/>
          <w:color w:val="0000FF"/>
          <w:lang w:bidi="ar-SA"/>
        </w:rPr>
        <w:t xml:space="preserve">Pré-requis </w:t>
      </w:r>
      <w:r>
        <w:rPr>
          <w:color w:val="0000FF"/>
          <w:lang w:bidi="ar-SA"/>
        </w:rPr>
        <w:t>(définir les UE et les compétences indispensables pour suivre l’UE concernée)</w:t>
      </w:r>
    </w:p>
    <w:p w:rsidR="00E26E37" w:rsidRPr="00EA3EFA" w:rsidRDefault="00E26E37" w:rsidP="00E26E37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  <w:lang w:bidi="ar-SA"/>
        </w:rPr>
      </w:pPr>
      <w:r w:rsidRPr="00EA3EFA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Eléments constitutifs de l’UE </w:t>
      </w:r>
      <w:r w:rsidRPr="00EA3EFA">
        <w:rPr>
          <w:rFonts w:ascii="Times New Roman" w:hAnsi="Times New Roman"/>
          <w:color w:val="0000FF"/>
          <w:sz w:val="24"/>
          <w:szCs w:val="24"/>
          <w:lang w:bidi="ar-SA"/>
        </w:rPr>
        <w:t>(ECUE)</w:t>
      </w:r>
    </w:p>
    <w:p w:rsidR="00E26E37" w:rsidRDefault="00E26E37" w:rsidP="00E26E37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3.1- Enseignements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816"/>
        <w:gridCol w:w="1121"/>
        <w:gridCol w:w="1322"/>
        <w:gridCol w:w="1609"/>
        <w:gridCol w:w="1373"/>
      </w:tblGrid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Eléments constitutifs</w:t>
            </w:r>
          </w:p>
        </w:tc>
        <w:tc>
          <w:tcPr>
            <w:tcW w:w="486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Volume horaire semestriel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Cours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TD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TP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32BB" w:rsidRPr="00404595" w:rsidTr="00AE2AF2">
        <w:tc>
          <w:tcPr>
            <w:tcW w:w="3047" w:type="dxa"/>
            <w:vAlign w:val="center"/>
          </w:tcPr>
          <w:p w:rsidR="000C32BB" w:rsidRPr="00F07D10" w:rsidRDefault="000C32BB" w:rsidP="000C32BB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Paiement électronique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0C32BB" w:rsidRPr="00404595" w:rsidRDefault="000C32BB" w:rsidP="000C32BB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404595" w:rsidRDefault="000C32BB" w:rsidP="000C32BB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404595" w:rsidRDefault="000C32BB" w:rsidP="000C32BB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0C32BB" w:rsidRPr="00404595" w:rsidRDefault="000C32BB" w:rsidP="000C32BB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373" w:type="dxa"/>
            <w:vAlign w:val="center"/>
          </w:tcPr>
          <w:p w:rsidR="000C32BB" w:rsidRPr="00CC3577" w:rsidRDefault="000C32BB" w:rsidP="000C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2BB" w:rsidRPr="00404595" w:rsidTr="00AE2AF2">
        <w:trPr>
          <w:trHeight w:val="241"/>
        </w:trPr>
        <w:tc>
          <w:tcPr>
            <w:tcW w:w="3047" w:type="dxa"/>
            <w:vAlign w:val="center"/>
          </w:tcPr>
          <w:p w:rsidR="000C32BB" w:rsidRPr="00F07D10" w:rsidRDefault="000C32BB" w:rsidP="000C32B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 w:rsidRPr="00F07D10">
              <w:rPr>
                <w:sz w:val="16"/>
                <w:szCs w:val="16"/>
              </w:rPr>
              <w:t>e-SCM avancée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0C32BB" w:rsidRPr="00BA15E3" w:rsidRDefault="000C32BB" w:rsidP="000C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CC3577" w:rsidRDefault="000C32BB" w:rsidP="000C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32BB" w:rsidRPr="00404595" w:rsidRDefault="000C32BB" w:rsidP="000C32BB"/>
        </w:tc>
        <w:tc>
          <w:tcPr>
            <w:tcW w:w="1609" w:type="dxa"/>
            <w:tcBorders>
              <w:left w:val="single" w:sz="4" w:space="0" w:color="auto"/>
            </w:tcBorders>
          </w:tcPr>
          <w:p w:rsidR="000C32BB" w:rsidRPr="00404595" w:rsidRDefault="000C32BB" w:rsidP="000C32BB"/>
        </w:tc>
        <w:tc>
          <w:tcPr>
            <w:tcW w:w="1373" w:type="dxa"/>
            <w:vAlign w:val="center"/>
          </w:tcPr>
          <w:p w:rsidR="000C32BB" w:rsidRPr="00CC3577" w:rsidRDefault="000C32BB" w:rsidP="000C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6E37" w:rsidRPr="00404595" w:rsidTr="00CD0AE9">
        <w:trPr>
          <w:trHeight w:val="241"/>
        </w:trPr>
        <w:tc>
          <w:tcPr>
            <w:tcW w:w="3047" w:type="dxa"/>
            <w:tcBorders>
              <w:bottom w:val="single" w:sz="4" w:space="0" w:color="000000"/>
            </w:tcBorders>
          </w:tcPr>
          <w:p w:rsidR="00E26E37" w:rsidRPr="00110A58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10A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176649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4403AB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E26E37" w:rsidRPr="00110A58" w:rsidRDefault="00680F15" w:rsidP="00CD0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03DE9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  <w:r w:rsidRPr="00803DE9">
        <w:rPr>
          <w:b/>
          <w:bCs/>
          <w:color w:val="0000FF"/>
          <w:lang w:bidi="ar-SA"/>
        </w:rPr>
        <w:t xml:space="preserve">3.2- Activités pratiques :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4"/>
        <w:gridCol w:w="1881"/>
        <w:gridCol w:w="1201"/>
        <w:gridCol w:w="1433"/>
        <w:gridCol w:w="856"/>
        <w:gridCol w:w="910"/>
      </w:tblGrid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Activités Pratiques de l’UE</w:t>
            </w:r>
          </w:p>
        </w:tc>
        <w:tc>
          <w:tcPr>
            <w:tcW w:w="5371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Durée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Travaux sur terrain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Projet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stage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0A0628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Projet à réaliser par groupe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934242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404595" w:rsidTr="00CD0AE9">
        <w:trPr>
          <w:trHeight w:val="265"/>
        </w:trPr>
        <w:tc>
          <w:tcPr>
            <w:tcW w:w="3254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Total 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451B0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bidi="ar-SA"/>
        </w:rPr>
      </w:pPr>
      <w:r w:rsidRPr="008451B0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Contenu </w:t>
      </w:r>
      <w:r w:rsidRPr="008451B0">
        <w:rPr>
          <w:rFonts w:ascii="Times New Roman" w:hAnsi="Times New Roman"/>
          <w:color w:val="0000FF"/>
          <w:sz w:val="24"/>
          <w:szCs w:val="24"/>
          <w:lang w:bidi="ar-SA"/>
        </w:rPr>
        <w:t>(descriptifs et plans des cours)</w:t>
      </w:r>
    </w:p>
    <w:p w:rsidR="00E26E37" w:rsidRPr="008451B0" w:rsidRDefault="00E26E37" w:rsidP="00E26E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 </w:t>
      </w:r>
      <w:r>
        <w:rPr>
          <w:rFonts w:eastAsia="Rockwell"/>
          <w:b/>
          <w:bCs/>
          <w:color w:val="810000"/>
          <w:lang w:bidi="ar-SA"/>
        </w:rPr>
        <w:t xml:space="preserve">4.1- Enseignements </w:t>
      </w:r>
      <w:r>
        <w:rPr>
          <w:rFonts w:eastAsia="Rockwell"/>
          <w:color w:val="810000"/>
          <w:lang w:bidi="ar-SA"/>
        </w:rPr>
        <w:t>(Présenter une description succincte des programmes de chaque ECUE et joindre le programme détaillé à la fiche descriptive de l’UE)</w:t>
      </w:r>
    </w:p>
    <w:p w:rsidR="00E26E37" w:rsidRPr="00803DE9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E26E37" w:rsidRDefault="00E26E37" w:rsidP="00FE0FB9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fr-CA"/>
        </w:rPr>
      </w:pPr>
      <w:r w:rsidRPr="007E3DA7">
        <w:rPr>
          <w:lang w:val="fr-CA"/>
        </w:rPr>
        <w:t> </w:t>
      </w:r>
      <w:r>
        <w:rPr>
          <w:lang w:val="fr-CA"/>
        </w:rPr>
        <w:t xml:space="preserve">L’unité </w:t>
      </w:r>
      <w:r w:rsidR="00FE0FB9">
        <w:rPr>
          <w:lang w:val="fr-CA"/>
        </w:rPr>
        <w:t>C</w:t>
      </w:r>
      <w:r>
        <w:rPr>
          <w:lang w:val="fr-CA"/>
        </w:rPr>
        <w:t xml:space="preserve">oncepts de base de management intègre </w:t>
      </w:r>
      <w:r w:rsidR="00176649">
        <w:rPr>
          <w:lang w:val="fr-CA"/>
        </w:rPr>
        <w:t>deux</w:t>
      </w:r>
      <w:r>
        <w:rPr>
          <w:lang w:val="fr-CA"/>
        </w:rPr>
        <w:t xml:space="preserve"> modules à savoir :</w:t>
      </w:r>
    </w:p>
    <w:p w:rsidR="00E26E37" w:rsidRDefault="000C32BB" w:rsidP="000C32B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Bidi" w:eastAsia="Calibri" w:hAnsiTheme="majorBidi" w:cstheme="majorBidi"/>
          <w:color w:val="000000"/>
          <w:sz w:val="18"/>
          <w:szCs w:val="18"/>
        </w:rPr>
      </w:pPr>
      <w:r w:rsidRPr="00F07D10">
        <w:rPr>
          <w:rFonts w:eastAsia="TimesNewRomanPS-BoldMT" w:cs="TimesNewRomanPS-BoldMT"/>
          <w:sz w:val="16"/>
          <w:szCs w:val="16"/>
        </w:rPr>
        <w:lastRenderedPageBreak/>
        <w:t>Paiement électronique</w:t>
      </w:r>
      <w:r>
        <w:rPr>
          <w:sz w:val="18"/>
          <w:szCs w:val="18"/>
        </w:rPr>
        <w:t xml:space="preserve"> </w:t>
      </w:r>
      <w:r w:rsidR="00176649">
        <w:rPr>
          <w:sz w:val="18"/>
          <w:szCs w:val="18"/>
        </w:rPr>
        <w:t xml:space="preserve">ET </w:t>
      </w:r>
      <w:r w:rsidRPr="00F07D10">
        <w:rPr>
          <w:sz w:val="16"/>
          <w:szCs w:val="16"/>
        </w:rPr>
        <w:t>e-SCM avancée</w:t>
      </w:r>
      <w:r w:rsidR="00176649">
        <w:rPr>
          <w:sz w:val="18"/>
          <w:szCs w:val="18"/>
        </w:rPr>
        <w:t>.</w:t>
      </w:r>
      <w:r w:rsidR="00934242">
        <w:rPr>
          <w:sz w:val="18"/>
          <w:szCs w:val="18"/>
        </w:rPr>
        <w:t xml:space="preserve"> (Plans annexés)</w:t>
      </w:r>
    </w:p>
    <w:p w:rsidR="004403AB" w:rsidRPr="004403AB" w:rsidRDefault="004403AB" w:rsidP="004403A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81000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4.2- Activités pratiques de l’UE </w:t>
      </w:r>
      <w:r>
        <w:rPr>
          <w:rFonts w:eastAsia="Rockwell"/>
          <w:color w:val="810000"/>
          <w:lang w:bidi="ar-SA"/>
        </w:rPr>
        <w:t>(Présenter une description succincte des objectifs, des contenus et des procédures d’organisation de chaque activité)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E26E37" w:rsidRPr="000B5171" w:rsidRDefault="00E26E37" w:rsidP="00FE0F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Ce cours est basé sur des </w:t>
      </w:r>
      <w:r w:rsidR="00FE0FB9">
        <w:rPr>
          <w:rFonts w:ascii="Times New Roman" w:eastAsia="Rockwell" w:hAnsi="Times New Roman"/>
          <w:color w:val="000000"/>
          <w:sz w:val="24"/>
          <w:szCs w:val="24"/>
          <w:lang w:bidi="ar-SA"/>
        </w:rPr>
        <w:t>« </w:t>
      </w: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t>études de cas</w:t>
      </w:r>
      <w:r w:rsidR="00FE0FB9">
        <w:rPr>
          <w:rFonts w:ascii="Times New Roman" w:eastAsia="Rockwell" w:hAnsi="Times New Roman"/>
          <w:color w:val="000000"/>
          <w:sz w:val="24"/>
          <w:szCs w:val="24"/>
          <w:lang w:bidi="ar-SA"/>
        </w:rPr>
        <w:t> »</w:t>
      </w: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</w:t>
      </w:r>
      <w:r w:rsidR="00934242">
        <w:rPr>
          <w:rFonts w:ascii="Times New Roman" w:eastAsia="Rockwell" w:hAnsi="Times New Roman"/>
          <w:color w:val="000000"/>
          <w:sz w:val="24"/>
          <w:szCs w:val="24"/>
          <w:lang w:bidi="ar-SA"/>
        </w:rPr>
        <w:t>publié</w:t>
      </w:r>
      <w:r w:rsidR="00FE0FB9">
        <w:rPr>
          <w:rFonts w:ascii="Times New Roman" w:eastAsia="Rockwell" w:hAnsi="Times New Roman"/>
          <w:color w:val="000000"/>
          <w:sz w:val="24"/>
          <w:szCs w:val="24"/>
          <w:lang w:bidi="ar-SA"/>
        </w:rPr>
        <w:t>e</w:t>
      </w:r>
      <w:r w:rsidR="00934242">
        <w:rPr>
          <w:rFonts w:ascii="Times New Roman" w:eastAsia="Rockwell" w:hAnsi="Times New Roman"/>
          <w:color w:val="000000"/>
          <w:sz w:val="24"/>
          <w:szCs w:val="24"/>
          <w:lang w:bidi="ar-SA"/>
        </w:rPr>
        <w:t>s, et des exemples réels d</w:t>
      </w:r>
      <w:r w:rsidR="00FE0FB9">
        <w:rPr>
          <w:rFonts w:ascii="Times New Roman" w:eastAsia="Rockwell" w:hAnsi="Times New Roman"/>
          <w:color w:val="000000"/>
          <w:sz w:val="24"/>
          <w:szCs w:val="24"/>
          <w:lang w:bidi="ar-SA"/>
        </w:rPr>
        <w:t>’</w:t>
      </w:r>
      <w:r w:rsidR="00934242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entreprises tunisiennes. Des exemples du secteur bancaire sont notamment évoqués par un expert partenaire responsable monétique dans une banque tunisienne. </w:t>
      </w:r>
    </w:p>
    <w:p w:rsidR="00E26E37" w:rsidRPr="00D36369" w:rsidRDefault="00E26E37" w:rsidP="00E26E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</w:p>
    <w:p w:rsidR="00E26E37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 w:rsidRPr="00803DE9">
        <w:rPr>
          <w:rFonts w:ascii="Times New Roman" w:eastAsia="Rockwell" w:hAnsi="Times New Roman"/>
          <w:b/>
          <w:bCs/>
          <w:color w:val="0000FF"/>
          <w:sz w:val="24"/>
          <w:szCs w:val="24"/>
          <w:lang w:bidi="ar-SA"/>
        </w:rPr>
        <w:t xml:space="preserve">Méthodes pédagogiques et moyens didactiques spécifiques à l’UE </w:t>
      </w:r>
      <w:r w:rsidRPr="00803DE9">
        <w:rPr>
          <w:rFonts w:ascii="Times New Roman" w:eastAsia="Rockwell" w:hAnsi="Times New Roman"/>
          <w:color w:val="0000FF"/>
          <w:sz w:val="24"/>
          <w:szCs w:val="24"/>
          <w:lang w:bidi="ar-SA"/>
        </w:rPr>
        <w:t>(méthodes et outils pédagogiques, ouvrages de référence, recours aux TIC – possibilités d’enseignement à distance…)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 xml:space="preserve">1- </w:t>
      </w:r>
      <w:r>
        <w:rPr>
          <w:lang w:bidi="ar-SA"/>
        </w:rPr>
        <w:t xml:space="preserve">Présentation théorique : Powerpoint </w:t>
      </w:r>
    </w:p>
    <w:p w:rsidR="00333D06" w:rsidRDefault="00E26E37" w:rsidP="0033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 w:rsidRPr="00803DE9">
        <w:rPr>
          <w:lang w:bidi="ar-SA"/>
        </w:rPr>
        <w:t xml:space="preserve">2- </w:t>
      </w:r>
      <w:r w:rsidR="00333D06">
        <w:rPr>
          <w:lang w:bidi="ar-SA"/>
        </w:rPr>
        <w:t xml:space="preserve">Projet par groupe </w:t>
      </w:r>
    </w:p>
    <w:p w:rsidR="00E26E37" w:rsidRDefault="00333D06" w:rsidP="0033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 xml:space="preserve">3-Exposés étudiants </w:t>
      </w:r>
      <w:r w:rsidR="00E26E37">
        <w:rPr>
          <w:lang w:bidi="ar-SA"/>
        </w:rPr>
        <w:t xml:space="preserve"> </w:t>
      </w:r>
      <w:r>
        <w:rPr>
          <w:lang w:bidi="ar-SA"/>
        </w:rPr>
        <w:t>et discussion</w:t>
      </w:r>
    </w:p>
    <w:p w:rsidR="00333D06" w:rsidRDefault="00333D06" w:rsidP="0033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 xml:space="preserve">4-Conférence en partenariat avec une entreprise spécialisée dans le domaine du paiement électronique. 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0000FF"/>
          <w:lang w:bidi="ar-SA"/>
        </w:rPr>
      </w:pPr>
      <w:r>
        <w:rPr>
          <w:rFonts w:eastAsia="Rockwell"/>
          <w:b/>
          <w:bCs/>
          <w:color w:val="0000FF"/>
          <w:lang w:bidi="ar-SA"/>
        </w:rPr>
        <w:t>6- Examens et évaluation des connaissances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6.1- Méthode d’évaluation et régime d’examens </w:t>
      </w:r>
      <w:r>
        <w:rPr>
          <w:rFonts w:eastAsia="Rockwell"/>
          <w:color w:val="810000"/>
          <w:lang w:bidi="ar-SA"/>
        </w:rPr>
        <w:t>(Préciser le régime d’évaluation préconisé : contrôle continu uniquement ou, régime mixte c.à.d. contrôle continue et examens finaux)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>
        <w:rPr>
          <w:lang w:bidi="ar-SA"/>
        </w:rPr>
        <w:t xml:space="preserve">Régime Mixte 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6.2 - Validation de l’UE </w:t>
      </w:r>
      <w:r>
        <w:rPr>
          <w:rFonts w:eastAsia="Rockwell"/>
          <w:color w:val="810000"/>
          <w:lang w:bidi="ar-SA"/>
        </w:rPr>
        <w:t>(préciser les poids des épreuves d’examens pour le calcul de la moyenne de l’ECUE, les coefficients des ECUE et le coefficient de l’UE au sein du parcours).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tbl>
      <w:tblPr>
        <w:tblW w:w="1059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656"/>
        <w:gridCol w:w="864"/>
        <w:gridCol w:w="656"/>
        <w:gridCol w:w="1376"/>
        <w:gridCol w:w="776"/>
        <w:gridCol w:w="572"/>
        <w:gridCol w:w="694"/>
        <w:gridCol w:w="1376"/>
        <w:gridCol w:w="861"/>
        <w:gridCol w:w="905"/>
      </w:tblGrid>
      <w:tr w:rsidR="00E26E37" w:rsidRPr="000A0628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ECE</w:t>
            </w:r>
          </w:p>
        </w:tc>
        <w:tc>
          <w:tcPr>
            <w:tcW w:w="3260" w:type="dxa"/>
            <w:gridSpan w:val="4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Contrôle Continu  </w:t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Examen final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l’ECUE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l’UE au sein du parcours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E26E37" w:rsidRPr="00404595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6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Oral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TP et autre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Oral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Tp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et autres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0C32BB" w:rsidRPr="00404595" w:rsidTr="00C05351">
        <w:trPr>
          <w:trHeight w:val="835"/>
        </w:trPr>
        <w:tc>
          <w:tcPr>
            <w:tcW w:w="2150" w:type="dxa"/>
            <w:vAlign w:val="center"/>
          </w:tcPr>
          <w:p w:rsidR="000C32BB" w:rsidRPr="00F07D10" w:rsidRDefault="000C32BB" w:rsidP="00CD0AE9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Paiement électronique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70%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Default="00333D06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30%</w:t>
            </w:r>
          </w:p>
          <w:p w:rsidR="00333D06" w:rsidRPr="00333D06" w:rsidRDefault="00333D06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333D06">
              <w:rPr>
                <w:rFonts w:eastAsia="Rockwell"/>
                <w:sz w:val="22"/>
                <w:szCs w:val="22"/>
                <w:lang w:bidi="ar-SA"/>
              </w:rPr>
              <w:t>Exposé</w:t>
            </w:r>
          </w:p>
          <w:p w:rsidR="00333D06" w:rsidRPr="00511E67" w:rsidRDefault="00333D06" w:rsidP="00333D06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333D06">
              <w:rPr>
                <w:rFonts w:eastAsia="Rockwell"/>
                <w:sz w:val="22"/>
                <w:szCs w:val="22"/>
                <w:lang w:bidi="ar-SA"/>
              </w:rPr>
              <w:t>Projet de groupe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100%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0C32BB" w:rsidRPr="00404595" w:rsidRDefault="000C32BB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0C32BB" w:rsidRPr="00404595" w:rsidTr="00C05351">
        <w:trPr>
          <w:trHeight w:val="835"/>
        </w:trPr>
        <w:tc>
          <w:tcPr>
            <w:tcW w:w="2150" w:type="dxa"/>
            <w:vAlign w:val="center"/>
          </w:tcPr>
          <w:p w:rsidR="000C32BB" w:rsidRPr="00F07D10" w:rsidRDefault="000C32BB" w:rsidP="00CD0AE9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 w:rsidRPr="00F07D10">
              <w:rPr>
                <w:sz w:val="16"/>
                <w:szCs w:val="16"/>
              </w:rPr>
              <w:t>e-SCM avancée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70%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30%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100%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B" w:rsidRPr="00511E67" w:rsidRDefault="000C32B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0C32BB" w:rsidRPr="00404595" w:rsidRDefault="000C32BB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>6.3 - Validation des stages et des projets…..</w:t>
      </w:r>
    </w:p>
    <w:p w:rsidR="00E26E37" w:rsidRPr="00803DE9" w:rsidRDefault="00E26E37" w:rsidP="0033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 w:rsidR="00333D06">
        <w:rPr>
          <w:lang w:bidi="ar-SA"/>
        </w:rPr>
        <w:t>Exposé des projets de groupe sur les tentatives de fraudes en Tunisie</w:t>
      </w:r>
    </w:p>
    <w:p w:rsidR="00E26E37" w:rsidRPr="00803DE9" w:rsidRDefault="00E26E37" w:rsidP="0033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 xml:space="preserve">2- </w:t>
      </w:r>
      <w:r w:rsidR="00333D06">
        <w:rPr>
          <w:lang w:bidi="ar-SA"/>
        </w:rPr>
        <w:t>Projet e-</w:t>
      </w:r>
      <w:proofErr w:type="spellStart"/>
      <w:r w:rsidR="00333D06">
        <w:rPr>
          <w:lang w:bidi="ar-SA"/>
        </w:rPr>
        <w:t>procurement</w:t>
      </w:r>
      <w:proofErr w:type="spellEnd"/>
      <w:r w:rsidR="00333D06">
        <w:rPr>
          <w:lang w:bidi="ar-SA"/>
        </w:rPr>
        <w:t xml:space="preserve"> / e-logistique 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spacing w:line="252" w:lineRule="auto"/>
        <w:rPr>
          <w:rFonts w:eastAsia="Rockwell"/>
          <w:color w:val="0000FF"/>
          <w:lang w:bidi="ar-SA"/>
        </w:rPr>
      </w:pPr>
      <w:r>
        <w:rPr>
          <w:rFonts w:eastAsia="Rockwell"/>
          <w:color w:val="0000FF"/>
          <w:lang w:bidi="ar-SA"/>
        </w:rPr>
        <w:br w:type="page"/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Pr="00893C1F" w:rsidRDefault="00E26E37" w:rsidP="00893C1F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ECUE n° </w:t>
      </w:r>
      <w:r w:rsidR="00893C1F">
        <w:rPr>
          <w:rFonts w:eastAsia="Rockwell"/>
          <w:b/>
          <w:bCs/>
          <w:color w:val="0000FF"/>
          <w:sz w:val="32"/>
          <w:szCs w:val="32"/>
          <w:lang w:bidi="ar-SA"/>
        </w:rPr>
        <w:t>2</w:t>
      </w: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  <w:r w:rsidR="00893C1F" w:rsidRPr="00893C1F">
        <w:rPr>
          <w:rFonts w:eastAsia="Rockwell"/>
          <w:b/>
          <w:bCs/>
          <w:color w:val="0000FF"/>
          <w:sz w:val="32"/>
          <w:szCs w:val="32"/>
          <w:lang w:bidi="ar-SA"/>
        </w:rPr>
        <w:t>e-SCM avancée</w:t>
      </w:r>
      <w:r w:rsidRPr="00893C1F"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E26E37" w:rsidRDefault="00E26E37" w:rsidP="000C32BB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</w:t>
      </w:r>
      <w:r w:rsidR="00D14456">
        <w:rPr>
          <w:rFonts w:eastAsia="Rockwell"/>
          <w:b/>
          <w:bCs/>
          <w:color w:val="0000FF"/>
          <w:sz w:val="32"/>
          <w:szCs w:val="32"/>
          <w:lang w:bidi="ar-SA"/>
        </w:rPr>
        <w:t>3</w:t>
      </w:r>
      <w:r w:rsidR="000C32BB">
        <w:rPr>
          <w:rFonts w:eastAsia="Rockwell"/>
          <w:b/>
          <w:bCs/>
          <w:color w:val="0000FF"/>
          <w:sz w:val="32"/>
          <w:szCs w:val="32"/>
          <w:lang w:bidi="ar-SA"/>
        </w:rPr>
        <w:t>2</w:t>
      </w:r>
    </w:p>
    <w:p w:rsidR="00E26E37" w:rsidRDefault="00E26E37" w:rsidP="00E26E37">
      <w:pPr>
        <w:jc w:val="center"/>
        <w:rPr>
          <w:b/>
          <w:bCs/>
          <w:color w:val="000000"/>
          <w:sz w:val="28"/>
          <w:szCs w:val="28"/>
          <w:lang w:bidi="ar-SA"/>
        </w:rPr>
      </w:pPr>
    </w:p>
    <w:p w:rsidR="00893C1F" w:rsidRDefault="00893C1F" w:rsidP="00893C1F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893C1F" w:rsidRPr="001340B6" w:rsidRDefault="00893C1F" w:rsidP="00893C1F">
      <w:pPr>
        <w:spacing w:before="120" w:after="120"/>
        <w:jc w:val="both"/>
      </w:pPr>
      <w:r w:rsidRPr="001340B6">
        <w:t xml:space="preserve">Dans un contexte où le marché est devenu mondial, les entreprises doivent tirer profit afin de négocier leurs approvisionnements </w:t>
      </w:r>
      <w:r>
        <w:t xml:space="preserve">et livrer leurs marchandises </w:t>
      </w:r>
      <w:r w:rsidRPr="001340B6">
        <w:t>désormais à une échelle international grâce aux TIC. C’est dans ce contexte que la e-SCM est apparu. Ainsi, comme certains professionnels et académiciens l’affirment : la SCM est le cœur du e-commerce. Ce cours de spécialisation en e-SCM permettra à l’étudiant d’avoir des connaissances approfondies sur les différents maillons de la SCM et plus particulièrement l’e-</w:t>
      </w:r>
      <w:proofErr w:type="spellStart"/>
      <w:r w:rsidRPr="001340B6">
        <w:t>procurement</w:t>
      </w:r>
      <w:proofErr w:type="spellEnd"/>
      <w:r w:rsidRPr="001340B6">
        <w:t xml:space="preserve"> et </w:t>
      </w:r>
      <w:proofErr w:type="gramStart"/>
      <w:r w:rsidRPr="001340B6">
        <w:t>la</w:t>
      </w:r>
      <w:proofErr w:type="gramEnd"/>
      <w:r w:rsidRPr="001340B6">
        <w:t xml:space="preserve"> e-logistique aval du e-commerce. Ces connaissances contribueront fortement à la maîtrise des pratiques utilisées dans le monde des affaires électroniques.</w:t>
      </w:r>
    </w:p>
    <w:p w:rsidR="00893C1F" w:rsidRDefault="00893C1F" w:rsidP="00893C1F">
      <w:pPr>
        <w:pStyle w:val="Titre1"/>
        <w:bidi w:val="0"/>
      </w:pPr>
    </w:p>
    <w:p w:rsidR="00893C1F" w:rsidRDefault="00893C1F" w:rsidP="00893C1F">
      <w:pPr>
        <w:pStyle w:val="Titre1"/>
        <w:bidi w:val="0"/>
        <w:jc w:val="left"/>
      </w:pPr>
      <w:r>
        <w:t xml:space="preserve">Chapitre I </w:t>
      </w:r>
    </w:p>
    <w:p w:rsidR="00893C1F" w:rsidRDefault="00893C1F" w:rsidP="00893C1F"/>
    <w:p w:rsidR="00893C1F" w:rsidRPr="00724A8A" w:rsidRDefault="00893C1F" w:rsidP="00893C1F">
      <w:pPr>
        <w:ind w:left="360"/>
        <w:rPr>
          <w:b/>
        </w:rPr>
      </w:pPr>
      <w:r w:rsidRPr="00724A8A">
        <w:rPr>
          <w:b/>
          <w:iCs/>
        </w:rPr>
        <w:t>L’enjeu de la SCM dans  l’e-commerce</w:t>
      </w:r>
    </w:p>
    <w:p w:rsidR="00893C1F" w:rsidRDefault="00893C1F" w:rsidP="00893C1F">
      <w:pPr>
        <w:ind w:left="708"/>
      </w:pP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I. Champs de la e-</w:t>
      </w:r>
      <w:proofErr w:type="spellStart"/>
      <w:r w:rsidRPr="003429F0">
        <w:rPr>
          <w:bCs/>
        </w:rPr>
        <w:t>Supply</w:t>
      </w:r>
      <w:proofErr w:type="spellEnd"/>
      <w:r w:rsidRPr="003429F0">
        <w:rPr>
          <w:bCs/>
        </w:rPr>
        <w:t xml:space="preserve"> Chain</w:t>
      </w:r>
    </w:p>
    <w:p w:rsidR="00893C1F" w:rsidRPr="003429F0" w:rsidRDefault="00893C1F" w:rsidP="00893C1F">
      <w:pPr>
        <w:autoSpaceDE w:val="0"/>
        <w:autoSpaceDN w:val="0"/>
        <w:adjustRightInd w:val="0"/>
      </w:pPr>
      <w:r>
        <w:rPr>
          <w:bCs/>
        </w:rPr>
        <w:t>I</w:t>
      </w:r>
      <w:r w:rsidRPr="003429F0">
        <w:rPr>
          <w:bCs/>
        </w:rPr>
        <w:t>I. Une fusion entre le marketing et la logistique :</w:t>
      </w:r>
    </w:p>
    <w:p w:rsidR="00893C1F" w:rsidRPr="003429F0" w:rsidRDefault="00893C1F" w:rsidP="00893C1F">
      <w:pPr>
        <w:autoSpaceDE w:val="0"/>
        <w:autoSpaceDN w:val="0"/>
        <w:adjustRightInd w:val="0"/>
      </w:pPr>
      <w:r>
        <w:rPr>
          <w:bCs/>
        </w:rPr>
        <w:t>III</w:t>
      </w:r>
      <w:r w:rsidRPr="003429F0">
        <w:rPr>
          <w:bCs/>
        </w:rPr>
        <w:t>. La SCM dans les échanges électroniques :</w:t>
      </w:r>
    </w:p>
    <w:p w:rsidR="00893C1F" w:rsidRPr="003429F0" w:rsidRDefault="00893C1F" w:rsidP="00893C1F">
      <w:pPr>
        <w:autoSpaceDE w:val="0"/>
        <w:autoSpaceDN w:val="0"/>
        <w:adjustRightInd w:val="0"/>
      </w:pPr>
      <w:r>
        <w:rPr>
          <w:bCs/>
        </w:rPr>
        <w:t>I</w:t>
      </w:r>
      <w:r w:rsidRPr="003429F0">
        <w:rPr>
          <w:bCs/>
        </w:rPr>
        <w:t>V. Classement des problématiques de la SCM</w:t>
      </w:r>
    </w:p>
    <w:p w:rsidR="00893C1F" w:rsidRPr="003429F0" w:rsidRDefault="00893C1F" w:rsidP="00893C1F">
      <w:pPr>
        <w:autoSpaceDE w:val="0"/>
        <w:autoSpaceDN w:val="0"/>
        <w:adjustRightInd w:val="0"/>
      </w:pPr>
      <w:r>
        <w:rPr>
          <w:bCs/>
        </w:rPr>
        <w:t>V</w:t>
      </w:r>
      <w:r w:rsidRPr="003429F0">
        <w:rPr>
          <w:bCs/>
        </w:rPr>
        <w:t>.  Les Systèmes d’Information de la SCM</w:t>
      </w:r>
    </w:p>
    <w:p w:rsidR="00893C1F" w:rsidRPr="003429F0" w:rsidRDefault="00893C1F" w:rsidP="00893C1F">
      <w:pPr>
        <w:autoSpaceDE w:val="0"/>
        <w:autoSpaceDN w:val="0"/>
        <w:adjustRightInd w:val="0"/>
      </w:pPr>
      <w:r>
        <w:rPr>
          <w:bCs/>
        </w:rPr>
        <w:t>VI</w:t>
      </w:r>
      <w:r w:rsidRPr="003429F0">
        <w:rPr>
          <w:bCs/>
        </w:rPr>
        <w:t xml:space="preserve">.  Les différentes organisations logistiques </w:t>
      </w:r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t>Chapitre II</w:t>
      </w:r>
    </w:p>
    <w:p w:rsidR="00893C1F" w:rsidRPr="00724A8A" w:rsidRDefault="00893C1F" w:rsidP="00893C1F">
      <w:pPr>
        <w:widowControl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  <w:r w:rsidRPr="00724A8A">
        <w:rPr>
          <w:b/>
          <w:bCs/>
        </w:rPr>
        <w:t xml:space="preserve">Notions de base de l’achat B-to-B </w:t>
      </w:r>
    </w:p>
    <w:p w:rsidR="00893C1F" w:rsidRDefault="00893C1F" w:rsidP="00893C1F"/>
    <w:p w:rsidR="00893C1F" w:rsidRPr="00A137E7" w:rsidRDefault="00893C1F" w:rsidP="00893C1F">
      <w:pPr>
        <w:autoSpaceDE w:val="0"/>
        <w:autoSpaceDN w:val="0"/>
        <w:adjustRightInd w:val="0"/>
        <w:ind w:left="540" w:hanging="540"/>
        <w:rPr>
          <w:bCs/>
          <w:u w:val="single"/>
        </w:rPr>
      </w:pPr>
      <w:r w:rsidRPr="00A137E7">
        <w:rPr>
          <w:bCs/>
        </w:rPr>
        <w:t xml:space="preserve">I. Définition générale </w:t>
      </w:r>
    </w:p>
    <w:p w:rsidR="00893C1F" w:rsidRPr="00A137E7" w:rsidRDefault="00893C1F" w:rsidP="00893C1F">
      <w:pPr>
        <w:autoSpaceDE w:val="0"/>
        <w:autoSpaceDN w:val="0"/>
        <w:adjustRightInd w:val="0"/>
        <w:rPr>
          <w:bCs/>
        </w:rPr>
      </w:pPr>
      <w:r w:rsidRPr="00A137E7">
        <w:rPr>
          <w:bCs/>
        </w:rPr>
        <w:t>II. Problématique de l’achat</w:t>
      </w:r>
    </w:p>
    <w:p w:rsidR="00893C1F" w:rsidRPr="00A137E7" w:rsidRDefault="00893C1F" w:rsidP="00893C1F">
      <w:pPr>
        <w:rPr>
          <w:bCs/>
        </w:rPr>
      </w:pPr>
      <w:r w:rsidRPr="00A137E7">
        <w:rPr>
          <w:bCs/>
        </w:rPr>
        <w:t>III. Les familles d’achats</w:t>
      </w:r>
    </w:p>
    <w:p w:rsidR="00893C1F" w:rsidRPr="00A137E7" w:rsidRDefault="00893C1F" w:rsidP="00893C1F">
      <w:pPr>
        <w:autoSpaceDE w:val="0"/>
        <w:autoSpaceDN w:val="0"/>
        <w:adjustRightInd w:val="0"/>
      </w:pPr>
      <w:r w:rsidRPr="00A137E7">
        <w:rPr>
          <w:bCs/>
        </w:rPr>
        <w:t>IV. La procédure traditionnelle d'approvisionnement</w:t>
      </w:r>
    </w:p>
    <w:p w:rsidR="00893C1F" w:rsidRPr="00A137E7" w:rsidRDefault="00893C1F" w:rsidP="00893C1F">
      <w:pPr>
        <w:autoSpaceDE w:val="0"/>
        <w:autoSpaceDN w:val="0"/>
        <w:adjustRightInd w:val="0"/>
        <w:rPr>
          <w:bCs/>
        </w:rPr>
      </w:pPr>
      <w:r w:rsidRPr="00A137E7">
        <w:rPr>
          <w:bCs/>
        </w:rPr>
        <w:t>V. Les notions de base de la gestion des stocks</w:t>
      </w:r>
    </w:p>
    <w:p w:rsidR="00893C1F" w:rsidRPr="00A137E7" w:rsidRDefault="00893C1F" w:rsidP="00893C1F">
      <w:pPr>
        <w:autoSpaceDE w:val="0"/>
        <w:autoSpaceDN w:val="0"/>
        <w:adjustRightInd w:val="0"/>
        <w:rPr>
          <w:bCs/>
          <w:u w:val="single"/>
        </w:rPr>
      </w:pPr>
      <w:r w:rsidRPr="00A137E7">
        <w:rPr>
          <w:bCs/>
        </w:rPr>
        <w:t>VI. Les méthodes d'approvisionnements</w:t>
      </w:r>
    </w:p>
    <w:p w:rsidR="00893C1F" w:rsidRPr="00A137E7" w:rsidRDefault="00893C1F" w:rsidP="00893C1F">
      <w:pPr>
        <w:autoSpaceDE w:val="0"/>
        <w:autoSpaceDN w:val="0"/>
        <w:adjustRightInd w:val="0"/>
        <w:rPr>
          <w:bCs/>
        </w:rPr>
      </w:pPr>
      <w:r w:rsidRPr="00A137E7">
        <w:rPr>
          <w:bCs/>
        </w:rPr>
        <w:t>VII. Quelle méthode d'approvisionnement choisir ?</w:t>
      </w:r>
    </w:p>
    <w:p w:rsidR="00893C1F" w:rsidRPr="00A137E7" w:rsidRDefault="00893C1F" w:rsidP="00893C1F">
      <w:pPr>
        <w:autoSpaceDE w:val="0"/>
        <w:autoSpaceDN w:val="0"/>
        <w:adjustRightInd w:val="0"/>
      </w:pPr>
      <w:r w:rsidRPr="00A137E7">
        <w:rPr>
          <w:bCs/>
        </w:rPr>
        <w:t>VIII. La gestion informatisée des stocks et le système KANBAN</w:t>
      </w:r>
    </w:p>
    <w:p w:rsidR="00893C1F" w:rsidRPr="00A137E7" w:rsidRDefault="00893C1F" w:rsidP="00893C1F">
      <w:pPr>
        <w:autoSpaceDE w:val="0"/>
        <w:autoSpaceDN w:val="0"/>
        <w:adjustRightInd w:val="0"/>
      </w:pPr>
      <w:r w:rsidRPr="00A137E7">
        <w:rPr>
          <w:bCs/>
        </w:rPr>
        <w:t>IX. Le calcul du besoin</w:t>
      </w:r>
    </w:p>
    <w:p w:rsidR="00893C1F" w:rsidRDefault="00893C1F" w:rsidP="00893C1F">
      <w:r w:rsidRPr="00A137E7">
        <w:rPr>
          <w:bCs/>
        </w:rPr>
        <w:t>X. L’approvisionnement et Internet</w:t>
      </w:r>
    </w:p>
    <w:p w:rsidR="00893C1F" w:rsidRDefault="00893C1F" w:rsidP="00893C1F">
      <w:pPr>
        <w:pStyle w:val="Titre1"/>
        <w:bidi w:val="0"/>
        <w:jc w:val="left"/>
      </w:pPr>
    </w:p>
    <w:p w:rsidR="00893C1F" w:rsidRDefault="00893C1F" w:rsidP="00893C1F">
      <w:pPr>
        <w:pStyle w:val="Titre1"/>
        <w:bidi w:val="0"/>
        <w:jc w:val="left"/>
      </w:pPr>
    </w:p>
    <w:p w:rsidR="00893C1F" w:rsidRDefault="00893C1F" w:rsidP="00893C1F">
      <w:pPr>
        <w:pStyle w:val="Titre1"/>
        <w:bidi w:val="0"/>
        <w:jc w:val="left"/>
      </w:pPr>
      <w:r>
        <w:t>Chapitre III</w:t>
      </w:r>
    </w:p>
    <w:p w:rsidR="00893C1F" w:rsidRPr="00724A8A" w:rsidRDefault="00893C1F" w:rsidP="00893C1F">
      <w:pPr>
        <w:ind w:left="360"/>
        <w:rPr>
          <w:b/>
        </w:rPr>
      </w:pPr>
      <w:r w:rsidRPr="00724A8A">
        <w:rPr>
          <w:b/>
        </w:rPr>
        <w:t xml:space="preserve">L’approvisionnement et la gestion des stocks </w:t>
      </w:r>
    </w:p>
    <w:p w:rsidR="00893C1F" w:rsidRPr="00724A8A" w:rsidRDefault="00893C1F" w:rsidP="00893C1F">
      <w:pPr>
        <w:rPr>
          <w:b/>
        </w:rPr>
      </w:pPr>
    </w:p>
    <w:p w:rsidR="00893C1F" w:rsidRPr="003429F0" w:rsidRDefault="00893C1F" w:rsidP="00893C1F">
      <w:pPr>
        <w:framePr w:hSpace="141" w:wrap="auto" w:vAnchor="text" w:hAnchor="margin" w:xAlign="center" w:y="128"/>
        <w:autoSpaceDE w:val="0"/>
        <w:autoSpaceDN w:val="0"/>
        <w:adjustRightInd w:val="0"/>
        <w:rPr>
          <w:bCs/>
        </w:rPr>
      </w:pPr>
      <w:r w:rsidRPr="00A137E7">
        <w:rPr>
          <w:b/>
          <w:bCs/>
        </w:rPr>
        <w:t xml:space="preserve">I. </w:t>
      </w:r>
      <w:r w:rsidRPr="003429F0">
        <w:rPr>
          <w:bCs/>
        </w:rPr>
        <w:t>L'organisation matérielle du magasin,</w:t>
      </w:r>
    </w:p>
    <w:p w:rsidR="00893C1F" w:rsidRPr="003429F0" w:rsidRDefault="00893C1F" w:rsidP="00893C1F">
      <w:pPr>
        <w:framePr w:hSpace="141" w:wrap="auto" w:vAnchor="text" w:hAnchor="margin" w:xAlign="center" w:y="128"/>
        <w:autoSpaceDE w:val="0"/>
        <w:autoSpaceDN w:val="0"/>
        <w:adjustRightInd w:val="0"/>
        <w:rPr>
          <w:bCs/>
        </w:rPr>
      </w:pPr>
      <w:r w:rsidRPr="003429F0">
        <w:rPr>
          <w:bCs/>
        </w:rPr>
        <w:t xml:space="preserve">II. Les différentes notions de stock, </w:t>
      </w:r>
    </w:p>
    <w:p w:rsidR="00893C1F" w:rsidRDefault="00893C1F" w:rsidP="00893C1F">
      <w:r w:rsidRPr="003429F0">
        <w:rPr>
          <w:bCs/>
        </w:rPr>
        <w:t>III. Les méthodes de réapprovisionnement</w:t>
      </w:r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lastRenderedPageBreak/>
        <w:t>Chapitre IV</w:t>
      </w:r>
    </w:p>
    <w:p w:rsidR="00893C1F" w:rsidRPr="00724A8A" w:rsidRDefault="00893C1F" w:rsidP="00893C1F">
      <w:pPr>
        <w:ind w:left="360"/>
        <w:rPr>
          <w:b/>
          <w:bCs/>
        </w:rPr>
      </w:pPr>
      <w:r w:rsidRPr="00724A8A">
        <w:rPr>
          <w:b/>
          <w:bCs/>
        </w:rPr>
        <w:t>Les nouveaux systèmes d’e-achat B-to-B </w:t>
      </w:r>
      <w:proofErr w:type="gramStart"/>
      <w:r w:rsidRPr="00724A8A">
        <w:rPr>
          <w:b/>
          <w:bCs/>
        </w:rPr>
        <w:t>:</w:t>
      </w:r>
      <w:proofErr w:type="gramEnd"/>
      <w:r w:rsidRPr="00724A8A">
        <w:rPr>
          <w:b/>
          <w:bCs/>
        </w:rPr>
        <w:br/>
        <w:t>l’e-</w:t>
      </w:r>
      <w:proofErr w:type="spellStart"/>
      <w:r w:rsidRPr="00724A8A">
        <w:rPr>
          <w:b/>
          <w:bCs/>
        </w:rPr>
        <w:t>procurement</w:t>
      </w:r>
      <w:proofErr w:type="spellEnd"/>
      <w:r w:rsidRPr="00724A8A">
        <w:rPr>
          <w:b/>
          <w:bCs/>
        </w:rPr>
        <w:t xml:space="preserve"> et les places de marché</w:t>
      </w:r>
    </w:p>
    <w:p w:rsidR="00893C1F" w:rsidRDefault="00893C1F" w:rsidP="00893C1F"/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I. L’e-</w:t>
      </w:r>
      <w:proofErr w:type="spellStart"/>
      <w:r w:rsidRPr="003429F0">
        <w:rPr>
          <w:bCs/>
        </w:rPr>
        <w:t>procurement</w:t>
      </w:r>
      <w:proofErr w:type="spellEnd"/>
    </w:p>
    <w:p w:rsidR="00893C1F" w:rsidRPr="003429F0" w:rsidRDefault="00893C1F" w:rsidP="00893C1F">
      <w:pPr>
        <w:numPr>
          <w:ilvl w:val="0"/>
          <w:numId w:val="5"/>
        </w:numPr>
        <w:autoSpaceDE w:val="0"/>
        <w:autoSpaceDN w:val="0"/>
        <w:adjustRightInd w:val="0"/>
      </w:pPr>
      <w:r w:rsidRPr="003429F0">
        <w:rPr>
          <w:bCs/>
        </w:rPr>
        <w:t>Exemples d’outils d’</w:t>
      </w:r>
      <w:r w:rsidRPr="003429F0">
        <w:rPr>
          <w:bCs/>
          <w:i/>
          <w:iCs/>
        </w:rPr>
        <w:t>e-</w:t>
      </w:r>
      <w:proofErr w:type="spellStart"/>
      <w:r w:rsidRPr="003429F0">
        <w:rPr>
          <w:bCs/>
          <w:i/>
          <w:iCs/>
        </w:rPr>
        <w:t>procurement</w:t>
      </w:r>
      <w:proofErr w:type="spellEnd"/>
      <w:r w:rsidRPr="003429F0">
        <w:rPr>
          <w:i/>
          <w:iCs/>
        </w:rPr>
        <w:t xml:space="preserve"> </w:t>
      </w:r>
      <w:r w:rsidRPr="003429F0">
        <w:t>:</w:t>
      </w:r>
    </w:p>
    <w:p w:rsidR="00893C1F" w:rsidRPr="003429F0" w:rsidRDefault="00893C1F" w:rsidP="00893C1F">
      <w:pPr>
        <w:autoSpaceDE w:val="0"/>
        <w:autoSpaceDN w:val="0"/>
        <w:adjustRightInd w:val="0"/>
        <w:rPr>
          <w:bCs/>
        </w:rPr>
      </w:pPr>
      <w:r w:rsidRPr="003429F0">
        <w:rPr>
          <w:bCs/>
        </w:rPr>
        <w:t>II. Les places de marché (</w:t>
      </w:r>
      <w:proofErr w:type="spellStart"/>
      <w:r w:rsidRPr="003429F0">
        <w:rPr>
          <w:bCs/>
        </w:rPr>
        <w:t>Marketplaces</w:t>
      </w:r>
      <w:proofErr w:type="spellEnd"/>
      <w:r w:rsidRPr="003429F0">
        <w:rPr>
          <w:bCs/>
        </w:rPr>
        <w:t>)</w:t>
      </w:r>
    </w:p>
    <w:p w:rsidR="00893C1F" w:rsidRPr="003429F0" w:rsidRDefault="00893C1F" w:rsidP="00893C1F">
      <w:pPr>
        <w:autoSpaceDE w:val="0"/>
        <w:autoSpaceDN w:val="0"/>
        <w:adjustRightInd w:val="0"/>
        <w:rPr>
          <w:bCs/>
        </w:rPr>
      </w:pPr>
      <w:r w:rsidRPr="003429F0">
        <w:rPr>
          <w:bCs/>
        </w:rPr>
        <w:t>1. Typologies des places de marché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2. Les objectifs des places de marché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3. Les différents services des places de marché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3.2. Les services e-</w:t>
      </w:r>
      <w:proofErr w:type="spellStart"/>
      <w:r w:rsidRPr="003429F0">
        <w:rPr>
          <w:bCs/>
        </w:rPr>
        <w:t>procurement</w:t>
      </w:r>
      <w:proofErr w:type="spellEnd"/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3.3. Les services d’information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3.4. Portail de connaissances (</w:t>
      </w:r>
      <w:proofErr w:type="spellStart"/>
      <w:r w:rsidRPr="003429F0">
        <w:rPr>
          <w:bCs/>
        </w:rPr>
        <w:t>knowledge</w:t>
      </w:r>
      <w:proofErr w:type="spellEnd"/>
      <w:r w:rsidRPr="003429F0">
        <w:rPr>
          <w:bCs/>
        </w:rPr>
        <w:t xml:space="preserve"> place)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4. Choix du modèle de revenus</w:t>
      </w:r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t>Chapitre V</w:t>
      </w:r>
    </w:p>
    <w:p w:rsidR="00893C1F" w:rsidRPr="00BD7C4B" w:rsidRDefault="00893C1F" w:rsidP="00893C1F">
      <w:pPr>
        <w:ind w:left="360"/>
        <w:rPr>
          <w:b/>
        </w:rPr>
      </w:pPr>
      <w:r w:rsidRPr="00BD7C4B">
        <w:rPr>
          <w:b/>
        </w:rPr>
        <w:t xml:space="preserve"> Les enchères inversées électroniques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I. Les principales définitions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 xml:space="preserve">II. Place de marché </w:t>
      </w:r>
      <w:proofErr w:type="spellStart"/>
      <w:r w:rsidRPr="003429F0">
        <w:rPr>
          <w:bCs/>
        </w:rPr>
        <w:t>Buy</w:t>
      </w:r>
      <w:proofErr w:type="spellEnd"/>
      <w:r w:rsidRPr="003429F0">
        <w:rPr>
          <w:bCs/>
        </w:rPr>
        <w:t xml:space="preserve"> </w:t>
      </w:r>
      <w:proofErr w:type="spellStart"/>
      <w:r w:rsidRPr="003429F0">
        <w:rPr>
          <w:bCs/>
        </w:rPr>
        <w:t>Side</w:t>
      </w:r>
      <w:proofErr w:type="spellEnd"/>
      <w:r w:rsidRPr="003429F0">
        <w:rPr>
          <w:bCs/>
        </w:rPr>
        <w:t xml:space="preserve"> 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III. Une séance d’enchères inversées électroniques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IV. Les types d’enchères inversées électroniques.</w:t>
      </w:r>
    </w:p>
    <w:p w:rsidR="00893C1F" w:rsidRPr="003429F0" w:rsidRDefault="00893C1F" w:rsidP="00893C1F">
      <w:pPr>
        <w:autoSpaceDE w:val="0"/>
        <w:autoSpaceDN w:val="0"/>
        <w:adjustRightInd w:val="0"/>
      </w:pPr>
    </w:p>
    <w:p w:rsidR="00893C1F" w:rsidRDefault="00893C1F" w:rsidP="00893C1F">
      <w:pPr>
        <w:pStyle w:val="Titre1"/>
        <w:bidi w:val="0"/>
        <w:jc w:val="left"/>
      </w:pPr>
      <w:r>
        <w:t xml:space="preserve">Chapitre  VI </w:t>
      </w:r>
    </w:p>
    <w:p w:rsidR="00893C1F" w:rsidRDefault="00893C1F" w:rsidP="00893C1F">
      <w:pPr>
        <w:widowControl w:val="0"/>
        <w:autoSpaceDE w:val="0"/>
        <w:autoSpaceDN w:val="0"/>
        <w:adjustRightInd w:val="0"/>
        <w:ind w:left="360"/>
        <w:textAlignment w:val="baseline"/>
      </w:pPr>
    </w:p>
    <w:p w:rsidR="00893C1F" w:rsidRPr="00BD7C4B" w:rsidRDefault="00893C1F" w:rsidP="00893C1F">
      <w:pPr>
        <w:widowControl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  <w:r w:rsidRPr="00BD7C4B">
        <w:rPr>
          <w:b/>
          <w:bCs/>
        </w:rPr>
        <w:t>La logistique de transport</w:t>
      </w:r>
    </w:p>
    <w:p w:rsidR="00893C1F" w:rsidRDefault="00893C1F" w:rsidP="00893C1F"/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I. Le choix du transport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II. Les modes de transport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III. Les différents types du contrat de transport 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IV. Les Incoterms</w:t>
      </w:r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t xml:space="preserve">Chapitre VII </w:t>
      </w:r>
    </w:p>
    <w:p w:rsidR="00893C1F" w:rsidRPr="00BD7C4B" w:rsidRDefault="00893C1F" w:rsidP="00893C1F">
      <w:pPr>
        <w:ind w:left="360"/>
        <w:rPr>
          <w:b/>
          <w:bCs/>
        </w:rPr>
      </w:pPr>
      <w:r w:rsidRPr="00BD7C4B">
        <w:rPr>
          <w:b/>
          <w:bCs/>
        </w:rPr>
        <w:t>L’entreposage</w:t>
      </w:r>
    </w:p>
    <w:p w:rsidR="00893C1F" w:rsidRPr="00FD6D5C" w:rsidRDefault="00893C1F" w:rsidP="00893C1F"/>
    <w:p w:rsidR="00893C1F" w:rsidRPr="003429F0" w:rsidRDefault="00893C1F" w:rsidP="00893C1F">
      <w:r w:rsidRPr="003429F0">
        <w:t xml:space="preserve">I. </w:t>
      </w:r>
      <w:r>
        <w:t>Rappel des différents t</w:t>
      </w:r>
      <w:r w:rsidRPr="003429F0">
        <w:t>ype</w:t>
      </w:r>
      <w:r>
        <w:t>s</w:t>
      </w:r>
      <w:r w:rsidRPr="003429F0">
        <w:t xml:space="preserve"> de réseau</w:t>
      </w:r>
      <w:r>
        <w:t>x</w:t>
      </w:r>
    </w:p>
    <w:p w:rsidR="00893C1F" w:rsidRPr="003429F0" w:rsidRDefault="00893C1F" w:rsidP="00893C1F">
      <w:r w:rsidRPr="003429F0">
        <w:rPr>
          <w:bCs/>
        </w:rPr>
        <w:t>II. Les critères de localisation des bâtiments logistiques</w:t>
      </w:r>
    </w:p>
    <w:p w:rsidR="00893C1F" w:rsidRPr="003429F0" w:rsidRDefault="00893C1F" w:rsidP="00893C1F">
      <w:r w:rsidRPr="003429F0">
        <w:rPr>
          <w:bCs/>
        </w:rPr>
        <w:t>III. La technique du Barycentre</w:t>
      </w:r>
    </w:p>
    <w:p w:rsidR="00893C1F" w:rsidRPr="003429F0" w:rsidRDefault="00893C1F" w:rsidP="00893C1F">
      <w:r w:rsidRPr="003429F0">
        <w:rPr>
          <w:bCs/>
        </w:rPr>
        <w:t xml:space="preserve">IV. La Préparation de Commandes ou </w:t>
      </w:r>
      <w:proofErr w:type="spellStart"/>
      <w:r w:rsidRPr="003429F0">
        <w:rPr>
          <w:bCs/>
        </w:rPr>
        <w:t>Picking</w:t>
      </w:r>
      <w:proofErr w:type="spellEnd"/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t xml:space="preserve">Chapitre VIII </w:t>
      </w:r>
    </w:p>
    <w:p w:rsidR="00893C1F" w:rsidRPr="00BD7C4B" w:rsidRDefault="00893C1F" w:rsidP="00893C1F">
      <w:pPr>
        <w:autoSpaceDE w:val="0"/>
        <w:autoSpaceDN w:val="0"/>
        <w:adjustRightInd w:val="0"/>
        <w:ind w:left="360"/>
        <w:rPr>
          <w:b/>
        </w:rPr>
      </w:pPr>
      <w:r w:rsidRPr="00BD7C4B">
        <w:rPr>
          <w:b/>
        </w:rPr>
        <w:t xml:space="preserve">Les meilleures pratiques de  </w:t>
      </w:r>
      <w:r w:rsidRPr="00BD7C4B">
        <w:rPr>
          <w:b/>
        </w:rPr>
        <w:br/>
        <w:t>l’e-logistique aval</w:t>
      </w:r>
    </w:p>
    <w:p w:rsidR="00893C1F" w:rsidRPr="003429F0" w:rsidRDefault="00893C1F" w:rsidP="00893C1F">
      <w:pPr>
        <w:autoSpaceDE w:val="0"/>
        <w:autoSpaceDN w:val="0"/>
        <w:adjustRightInd w:val="0"/>
        <w:rPr>
          <w:lang w:val="en-GB"/>
        </w:rPr>
      </w:pPr>
      <w:r w:rsidRPr="003429F0">
        <w:rPr>
          <w:bCs/>
          <w:lang w:val="en-GB"/>
        </w:rPr>
        <w:t xml:space="preserve">I. Just in time – Flux </w:t>
      </w:r>
      <w:proofErr w:type="spellStart"/>
      <w:r w:rsidRPr="003429F0">
        <w:rPr>
          <w:bCs/>
          <w:lang w:val="en-GB"/>
        </w:rPr>
        <w:t>tendu</w:t>
      </w:r>
      <w:proofErr w:type="spellEnd"/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 xml:space="preserve">II. ECR 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 xml:space="preserve">III. La GPA </w:t>
      </w:r>
    </w:p>
    <w:p w:rsidR="00893C1F" w:rsidRPr="003429F0" w:rsidRDefault="00893C1F" w:rsidP="00893C1F">
      <w:pPr>
        <w:autoSpaceDE w:val="0"/>
        <w:autoSpaceDN w:val="0"/>
        <w:adjustRightInd w:val="0"/>
        <w:rPr>
          <w:bCs/>
        </w:rPr>
      </w:pPr>
      <w:r w:rsidRPr="003429F0">
        <w:rPr>
          <w:bCs/>
        </w:rPr>
        <w:t xml:space="preserve">1. GPA </w:t>
      </w:r>
      <w:proofErr w:type="spellStart"/>
      <w:r w:rsidRPr="003429F0">
        <w:rPr>
          <w:bCs/>
        </w:rPr>
        <w:t>Multipick</w:t>
      </w:r>
      <w:proofErr w:type="spellEnd"/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 xml:space="preserve">2. GPA </w:t>
      </w:r>
      <w:proofErr w:type="spellStart"/>
      <w:r w:rsidRPr="003429F0">
        <w:rPr>
          <w:bCs/>
        </w:rPr>
        <w:t>Multidrop</w:t>
      </w:r>
      <w:proofErr w:type="spellEnd"/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IV.</w:t>
      </w:r>
      <w:r w:rsidRPr="003429F0">
        <w:t xml:space="preserve"> </w:t>
      </w:r>
      <w:r w:rsidRPr="003429F0">
        <w:rPr>
          <w:bCs/>
        </w:rPr>
        <w:t>La VMI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V. Les prestataires 3PL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t>VI. Les prestataires 4PL</w:t>
      </w:r>
    </w:p>
    <w:p w:rsidR="00893C1F" w:rsidRPr="003429F0" w:rsidRDefault="00893C1F" w:rsidP="00893C1F">
      <w:pPr>
        <w:autoSpaceDE w:val="0"/>
        <w:autoSpaceDN w:val="0"/>
        <w:adjustRightInd w:val="0"/>
      </w:pPr>
      <w:r w:rsidRPr="003429F0">
        <w:rPr>
          <w:bCs/>
        </w:rPr>
        <w:lastRenderedPageBreak/>
        <w:t>VII. Pourquoi choisir un 3PL ou un 4PL ?</w:t>
      </w:r>
    </w:p>
    <w:p w:rsidR="00893C1F" w:rsidRDefault="00893C1F" w:rsidP="00893C1F"/>
    <w:p w:rsidR="00893C1F" w:rsidRDefault="00893C1F" w:rsidP="00893C1F">
      <w:pPr>
        <w:pStyle w:val="Titre1"/>
        <w:bidi w:val="0"/>
        <w:jc w:val="left"/>
      </w:pPr>
      <w:r>
        <w:t>Chapitre IX</w:t>
      </w:r>
    </w:p>
    <w:p w:rsidR="00893C1F" w:rsidRPr="00BD7C4B" w:rsidRDefault="00893C1F" w:rsidP="00893C1F">
      <w:pPr>
        <w:framePr w:hSpace="141" w:wrap="auto" w:vAnchor="text" w:hAnchor="page" w:x="1141" w:y="116"/>
        <w:ind w:left="360"/>
        <w:rPr>
          <w:b/>
          <w:iCs/>
        </w:rPr>
      </w:pPr>
      <w:r w:rsidRPr="00BD7C4B">
        <w:rPr>
          <w:b/>
          <w:iCs/>
        </w:rPr>
        <w:t>Les technologies de la traçabilité</w:t>
      </w:r>
    </w:p>
    <w:p w:rsidR="00893C1F" w:rsidRDefault="00893C1F" w:rsidP="00893C1F"/>
    <w:p w:rsidR="00893C1F" w:rsidRDefault="00893C1F" w:rsidP="00893C1F"/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Traçabilité – Technologies et Applications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 xml:space="preserve">I. Traçabilité – </w:t>
      </w:r>
      <w:proofErr w:type="spellStart"/>
      <w:r w:rsidRPr="003429F0">
        <w:rPr>
          <w:bCs/>
          <w:iCs/>
        </w:rPr>
        <w:t>Code-barre</w:t>
      </w:r>
      <w:proofErr w:type="spellEnd"/>
      <w:r w:rsidRPr="003429F0">
        <w:rPr>
          <w:bCs/>
          <w:iCs/>
        </w:rPr>
        <w:t xml:space="preserve"> 1D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Radiographie d’un code à barres EAN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Calcul de la clé de contrôle EAN 13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 xml:space="preserve">Les différents codes linéaires </w:t>
      </w:r>
    </w:p>
    <w:p w:rsidR="00893C1F" w:rsidRPr="003429F0" w:rsidRDefault="00893C1F" w:rsidP="00893C1F">
      <w:pPr>
        <w:rPr>
          <w:bCs/>
          <w:iCs/>
        </w:rPr>
      </w:pPr>
      <w:r w:rsidRPr="003429F0">
        <w:rPr>
          <w:bCs/>
          <w:iCs/>
        </w:rPr>
        <w:t>II. Le code à barres 2D ou bidimensionnels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Les lecteurs de codes à barres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III. Le code à bulles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IV. Les Technologies – NFC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V. Technologies – RFID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Les lecteurs des RFID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 xml:space="preserve">Les lecteurs </w:t>
      </w:r>
      <w:proofErr w:type="spellStart"/>
      <w:r w:rsidRPr="003429F0">
        <w:rPr>
          <w:bCs/>
          <w:iCs/>
        </w:rPr>
        <w:t>multi-fonctions</w:t>
      </w:r>
      <w:proofErr w:type="spellEnd"/>
      <w:r w:rsidRPr="003429F0">
        <w:rPr>
          <w:bCs/>
          <w:iCs/>
        </w:rPr>
        <w:t xml:space="preserve"> 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Les différentes applications des RFID : RFID et services mobiles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 xml:space="preserve">VI. Réseau </w:t>
      </w:r>
      <w:proofErr w:type="spellStart"/>
      <w:r w:rsidRPr="003429F0">
        <w:rPr>
          <w:bCs/>
          <w:iCs/>
        </w:rPr>
        <w:t>Wi-Fi</w:t>
      </w:r>
      <w:proofErr w:type="spellEnd"/>
      <w:r w:rsidRPr="003429F0">
        <w:rPr>
          <w:bCs/>
          <w:iCs/>
        </w:rPr>
        <w:t xml:space="preserve"> standard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VII. Traçabilité par acquisition d’images</w:t>
      </w:r>
    </w:p>
    <w:p w:rsidR="00893C1F" w:rsidRPr="003429F0" w:rsidRDefault="00893C1F" w:rsidP="00893C1F">
      <w:pPr>
        <w:rPr>
          <w:bCs/>
          <w:iCs/>
        </w:rPr>
      </w:pPr>
      <w:r w:rsidRPr="003429F0">
        <w:rPr>
          <w:bCs/>
          <w:iCs/>
        </w:rPr>
        <w:t>VIII. La convergence de ces technologies</w:t>
      </w:r>
      <w:r w:rsidRPr="003429F0">
        <w:rPr>
          <w:bCs/>
          <w:iCs/>
        </w:rPr>
        <w:br/>
        <w:t xml:space="preserve">          </w:t>
      </w:r>
    </w:p>
    <w:p w:rsidR="00893C1F" w:rsidRPr="003429F0" w:rsidRDefault="00893C1F" w:rsidP="00893C1F">
      <w:pPr>
        <w:rPr>
          <w:iCs/>
        </w:rPr>
      </w:pPr>
      <w:r w:rsidRPr="003429F0">
        <w:rPr>
          <w:bCs/>
          <w:iCs/>
        </w:rPr>
        <w:t>IX. Comparatif des technologies</w:t>
      </w:r>
    </w:p>
    <w:p w:rsidR="00893C1F" w:rsidRPr="003429F0" w:rsidRDefault="00893C1F" w:rsidP="00893C1F">
      <w:pPr>
        <w:jc w:val="both"/>
        <w:rPr>
          <w:iCs/>
        </w:rPr>
      </w:pPr>
    </w:p>
    <w:p w:rsidR="00893C1F" w:rsidRDefault="00893C1F" w:rsidP="00893C1F"/>
    <w:p w:rsidR="00893C1F" w:rsidRDefault="00893C1F" w:rsidP="00893C1F"/>
    <w:p w:rsidR="00893C1F" w:rsidRDefault="00893C1F" w:rsidP="00893C1F"/>
    <w:p w:rsidR="00893C1F" w:rsidRDefault="00893C1F" w:rsidP="00893C1F"/>
    <w:p w:rsidR="00E26E37" w:rsidRPr="007A79C1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  <w:r w:rsidRPr="007A79C1">
        <w:rPr>
          <w:b/>
          <w:bCs/>
          <w:color w:val="000000"/>
          <w:sz w:val="28"/>
          <w:szCs w:val="28"/>
          <w:lang w:bidi="ar-SA"/>
        </w:rPr>
        <w:br w:type="page"/>
      </w:r>
    </w:p>
    <w:p w:rsidR="000070FC" w:rsidRDefault="000070FC" w:rsidP="000070F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lastRenderedPageBreak/>
        <w:t xml:space="preserve">ECUE n° 1 Paiement électronique </w:t>
      </w: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2"/>
      </w:tblGrid>
      <w:tr w:rsidR="000070FC" w:rsidTr="005779EC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C" w:rsidRDefault="000070FC" w:rsidP="00FE0FB9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bookmarkStart w:id="0" w:name="_Toc190138140"/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 xml:space="preserve">Code ECUE : </w:t>
            </w:r>
            <w:r w:rsidR="00FE0FB9">
              <w:rPr>
                <w:rFonts w:cs="Times New Roman"/>
                <w:color w:val="800000"/>
                <w:sz w:val="22"/>
                <w:szCs w:val="22"/>
                <w:lang w:bidi="ar-MA"/>
              </w:rPr>
              <w:t>UE32</w:t>
            </w:r>
            <w:bookmarkEnd w:id="0"/>
          </w:p>
        </w:tc>
      </w:tr>
    </w:tbl>
    <w:p w:rsidR="000070FC" w:rsidRDefault="000070FC" w:rsidP="000070FC">
      <w:pPr>
        <w:pStyle w:val="Lgende"/>
      </w:pPr>
    </w:p>
    <w:p w:rsidR="000070FC" w:rsidRDefault="000070FC" w:rsidP="000070FC">
      <w:pPr>
        <w:pStyle w:val="Lgende"/>
      </w:pPr>
      <w:r>
        <w:t>Plan du cours</w:t>
      </w:r>
    </w:p>
    <w:p w:rsidR="000070FC" w:rsidRDefault="000070FC" w:rsidP="000070FC">
      <w:pPr>
        <w:rPr>
          <w:b/>
          <w:bCs/>
        </w:rPr>
      </w:pPr>
    </w:p>
    <w:p w:rsidR="000070FC" w:rsidRDefault="000070FC" w:rsidP="000070FC">
      <w:pPr>
        <w:rPr>
          <w:b/>
          <w:bCs/>
        </w:rPr>
      </w:pPr>
    </w:p>
    <w:p w:rsidR="000070FC" w:rsidRDefault="000070FC" w:rsidP="000070FC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Fonts w:cs="Calibri"/>
        </w:rPr>
        <w:t>-</w:t>
      </w:r>
      <w:r w:rsidRPr="008C22BE">
        <w:rPr>
          <w:rFonts w:cs="Calibri"/>
        </w:rPr>
        <w:t xml:space="preserve">Compréhension du marché des </w:t>
      </w:r>
      <w:r w:rsidRPr="008C22BE">
        <w:rPr>
          <w:rFonts w:cs="Calibri"/>
          <w:b/>
          <w:bCs/>
        </w:rPr>
        <w:t>cartes bancaires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t>-</w:t>
      </w:r>
      <w:r w:rsidRPr="008C22BE">
        <w:t xml:space="preserve">Familiariser l'étudiant avec les </w:t>
      </w:r>
      <w:r w:rsidRPr="008C22BE">
        <w:rPr>
          <w:rStyle w:val="evidence"/>
        </w:rPr>
        <w:t xml:space="preserve">différents types de cartes bancaires et des différents </w:t>
      </w:r>
      <w:r>
        <w:rPr>
          <w:rStyle w:val="evidence"/>
        </w:rPr>
        <w:t>moyens</w:t>
      </w:r>
      <w:r w:rsidRPr="008C22BE">
        <w:rPr>
          <w:rStyle w:val="evidence"/>
        </w:rPr>
        <w:t xml:space="preserve"> de paiements électroniques </w:t>
      </w:r>
      <w:r w:rsidRPr="008C22BE">
        <w:t>: quels sont leurs principes de fonctionnement, leurs spécificités, leur utilité, leurs limites, ... ?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Fonts w:cs="Calibri"/>
        </w:rPr>
        <w:t>-</w:t>
      </w:r>
      <w:r w:rsidRPr="008C22BE">
        <w:rPr>
          <w:rFonts w:cs="Calibri"/>
        </w:rPr>
        <w:t>Initiation à la monétique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Fonts w:cs="Calibri"/>
        </w:rPr>
        <w:t>-</w:t>
      </w:r>
      <w:r w:rsidRPr="008C22BE">
        <w:rPr>
          <w:rFonts w:cs="Calibri"/>
        </w:rPr>
        <w:t>Maitriser toutes les opérations monétiques depuis l’émission de la carte jusqu’aux opérations de retraites et de paiements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Fonts w:cs="Calibri"/>
        </w:rPr>
        <w:t>-</w:t>
      </w:r>
      <w:r w:rsidRPr="008C22BE">
        <w:rPr>
          <w:rFonts w:cs="Calibri"/>
        </w:rPr>
        <w:t>Cadre général et théorique du e-commerce</w:t>
      </w:r>
    </w:p>
    <w:p w:rsidR="000070FC" w:rsidRPr="008C22BE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Style w:val="st1"/>
        </w:rPr>
        <w:t>-</w:t>
      </w:r>
      <w:r w:rsidRPr="008C22BE">
        <w:rPr>
          <w:rStyle w:val="st1"/>
        </w:rPr>
        <w:t xml:space="preserve">Les </w:t>
      </w:r>
      <w:r w:rsidRPr="008C22BE">
        <w:rPr>
          <w:rStyle w:val="Accentuation"/>
        </w:rPr>
        <w:t>risques</w:t>
      </w:r>
      <w:r w:rsidRPr="008C22BE">
        <w:rPr>
          <w:rStyle w:val="st1"/>
        </w:rPr>
        <w:t xml:space="preserve"> propres aux dispositifs de </w:t>
      </w:r>
      <w:r w:rsidRPr="008C22BE">
        <w:rPr>
          <w:rStyle w:val="Accentuation"/>
        </w:rPr>
        <w:t>paiement électronique</w:t>
      </w:r>
    </w:p>
    <w:p w:rsidR="000070FC" w:rsidRDefault="000070FC" w:rsidP="000070FC">
      <w:pPr>
        <w:spacing w:before="100" w:beforeAutospacing="1"/>
        <w:ind w:left="720"/>
        <w:jc w:val="both"/>
        <w:rPr>
          <w:rFonts w:cs="Calibri"/>
        </w:rPr>
      </w:pPr>
      <w:r>
        <w:rPr>
          <w:rFonts w:cs="Calibri"/>
        </w:rPr>
        <w:t>-</w:t>
      </w:r>
      <w:r w:rsidRPr="008C22BE">
        <w:rPr>
          <w:rFonts w:cs="Calibri"/>
        </w:rPr>
        <w:t>Analyse des cas réels</w:t>
      </w:r>
    </w:p>
    <w:p w:rsidR="000070FC" w:rsidRDefault="000070FC" w:rsidP="000070FC">
      <w:pPr>
        <w:jc w:val="both"/>
      </w:pPr>
      <w:r>
        <w:rPr>
          <w:rFonts w:cs="Calibri"/>
        </w:rPr>
        <w:t xml:space="preserve">           -Afin d’initier et motiver les étudiants à la recherche, chaque chapitre fera l’objet d’un        exposé qui sera débattu en </w:t>
      </w:r>
      <w:proofErr w:type="spellStart"/>
      <w:r>
        <w:rPr>
          <w:rFonts w:cs="Calibri"/>
        </w:rPr>
        <w:t>classe</w:t>
      </w:r>
      <w:r>
        <w:t>Chapitre</w:t>
      </w:r>
      <w:proofErr w:type="spellEnd"/>
      <w:r>
        <w:t xml:space="preserve">             </w:t>
      </w:r>
    </w:p>
    <w:p w:rsidR="000070FC" w:rsidRDefault="000070FC" w:rsidP="000070FC">
      <w:pPr>
        <w:jc w:val="both"/>
      </w:pPr>
    </w:p>
    <w:p w:rsidR="000070FC" w:rsidRDefault="000070FC" w:rsidP="000070FC">
      <w:pPr>
        <w:ind w:left="708"/>
      </w:pPr>
    </w:p>
    <w:p w:rsidR="000070FC" w:rsidRDefault="000070FC" w:rsidP="000070FC"/>
    <w:p w:rsidR="000070FC" w:rsidRPr="008C22BE" w:rsidRDefault="000070FC" w:rsidP="000070FC">
      <w:pPr>
        <w:jc w:val="both"/>
        <w:rPr>
          <w:rFonts w:cs="Calibri"/>
          <w:b/>
          <w:bCs/>
        </w:rPr>
      </w:pPr>
      <w:r w:rsidRPr="008C22BE">
        <w:rPr>
          <w:rFonts w:cs="Calibri"/>
          <w:b/>
          <w:bCs/>
        </w:rPr>
        <w:t>Chapitre I : Nouvelles technologies de l’information et de la communication : la monnaie électronique et les cartes bancaires</w:t>
      </w:r>
    </w:p>
    <w:p w:rsidR="000070FC" w:rsidRPr="008C22BE" w:rsidRDefault="000070FC" w:rsidP="000070FC">
      <w:pPr>
        <w:ind w:left="360"/>
        <w:jc w:val="both"/>
        <w:rPr>
          <w:rFonts w:cs="Calibri"/>
          <w:u w:val="single"/>
        </w:rPr>
      </w:pPr>
    </w:p>
    <w:p w:rsidR="000070FC" w:rsidRPr="008C22BE" w:rsidRDefault="000070FC" w:rsidP="000070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La  Monétique 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Définition de la monétique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contexte historique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marché des cartes dans le monde : répartition mondiale, les réseaux de distribution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Les différentes catégories de cartes : par émetteur, par marché, par fonction, par niveau, les services associés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Fonctionnement 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Migration des cartes bancaires vers la puce: </w:t>
      </w:r>
      <w:r w:rsidRPr="008C22BE">
        <w:rPr>
          <w:rFonts w:cs="Calibri"/>
          <w:b/>
          <w:bCs/>
          <w:sz w:val="24"/>
          <w:szCs w:val="24"/>
          <w:u w:val="single"/>
          <w:lang w:eastAsia="fr-FR"/>
        </w:rPr>
        <w:t>Les Normes EMV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La carte et ses fonctions : les fonctions, le ’PAN’ et le ’BIN’ fabrication des cartes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Les principaux acteurs : les 4 acteurs de base, les acteurs </w:t>
      </w:r>
      <w:proofErr w:type="spellStart"/>
      <w:r w:rsidRPr="008C22BE">
        <w:rPr>
          <w:rFonts w:cs="Calibri"/>
          <w:sz w:val="24"/>
          <w:szCs w:val="24"/>
          <w:lang w:eastAsia="fr-FR"/>
        </w:rPr>
        <w:t>inter-bancaires</w:t>
      </w:r>
      <w:proofErr w:type="spellEnd"/>
      <w:r w:rsidRPr="008C22BE">
        <w:rPr>
          <w:rFonts w:cs="Calibri"/>
          <w:sz w:val="24"/>
          <w:szCs w:val="24"/>
          <w:lang w:eastAsia="fr-FR"/>
        </w:rPr>
        <w:t>, les fournisseurs</w:t>
      </w:r>
    </w:p>
    <w:p w:rsidR="000070FC" w:rsidRPr="008C22BE" w:rsidRDefault="000070FC" w:rsidP="000070FC">
      <w:pPr>
        <w:pStyle w:val="Paragraphedeliste"/>
        <w:numPr>
          <w:ilvl w:val="0"/>
          <w:numId w:val="6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La gestion des flux : la transaction, l’autorisation, la compensation, les flux internationaux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  <w:r w:rsidRPr="008C22BE">
        <w:rPr>
          <w:rFonts w:cs="Calibri"/>
          <w:b/>
          <w:bCs/>
        </w:rPr>
        <w:t>Chapitre II : Aspects marketing :</w:t>
      </w:r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marketing monétique</w:t>
      </w:r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Le </w:t>
      </w:r>
      <w:proofErr w:type="spellStart"/>
      <w:r w:rsidRPr="008C22BE">
        <w:rPr>
          <w:rFonts w:cs="Calibri"/>
          <w:sz w:val="24"/>
          <w:szCs w:val="24"/>
          <w:lang w:eastAsia="fr-FR"/>
        </w:rPr>
        <w:t>co</w:t>
      </w:r>
      <w:proofErr w:type="spellEnd"/>
      <w:r w:rsidRPr="008C22BE">
        <w:rPr>
          <w:rFonts w:cs="Calibri"/>
          <w:sz w:val="24"/>
          <w:szCs w:val="24"/>
          <w:lang w:eastAsia="fr-FR"/>
        </w:rPr>
        <w:t>-</w:t>
      </w:r>
      <w:proofErr w:type="spellStart"/>
      <w:r w:rsidRPr="008C22BE">
        <w:rPr>
          <w:rFonts w:cs="Calibri"/>
          <w:sz w:val="24"/>
          <w:szCs w:val="24"/>
          <w:lang w:eastAsia="fr-FR"/>
        </w:rPr>
        <w:t>branding</w:t>
      </w:r>
      <w:proofErr w:type="spellEnd"/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Style w:val="Accentuation"/>
          <w:rFonts w:cs="Calibri"/>
          <w:b w:val="0"/>
          <w:bCs w:val="0"/>
          <w:szCs w:val="24"/>
        </w:rPr>
      </w:pPr>
      <w:r w:rsidRPr="008C22BE">
        <w:rPr>
          <w:rStyle w:val="st"/>
          <w:rFonts w:cs="Calibri"/>
          <w:sz w:val="24"/>
          <w:szCs w:val="24"/>
        </w:rPr>
        <w:t xml:space="preserve">Impact du </w:t>
      </w:r>
      <w:r w:rsidRPr="008C22BE">
        <w:rPr>
          <w:rStyle w:val="Accentuation"/>
          <w:rFonts w:cs="Calibri"/>
          <w:szCs w:val="24"/>
        </w:rPr>
        <w:t>marketing</w:t>
      </w:r>
      <w:r w:rsidRPr="008C22BE">
        <w:rPr>
          <w:rStyle w:val="st"/>
          <w:rFonts w:cs="Calibri"/>
          <w:sz w:val="24"/>
          <w:szCs w:val="24"/>
        </w:rPr>
        <w:t xml:space="preserve"> dans la </w:t>
      </w:r>
      <w:r w:rsidRPr="008C22BE">
        <w:rPr>
          <w:rStyle w:val="Accentuation"/>
          <w:rFonts w:cs="Calibri"/>
          <w:szCs w:val="24"/>
        </w:rPr>
        <w:t>monétique</w:t>
      </w:r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Style w:val="st"/>
          <w:rFonts w:cs="Calibri"/>
          <w:sz w:val="24"/>
          <w:szCs w:val="24"/>
        </w:rPr>
        <w:t>Lancement d’un nouveau produit monétique : stratégie et élaboration d’un plan d’action marketing</w:t>
      </w:r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La segmentation </w:t>
      </w:r>
    </w:p>
    <w:p w:rsidR="000070FC" w:rsidRPr="008C22BE" w:rsidRDefault="000070FC" w:rsidP="000070FC">
      <w:pPr>
        <w:pStyle w:val="Paragraphedeliste"/>
        <w:numPr>
          <w:ilvl w:val="0"/>
          <w:numId w:val="7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Nouveaux produits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  <w:r w:rsidRPr="008C22BE">
        <w:rPr>
          <w:rFonts w:cs="Calibri"/>
          <w:b/>
          <w:bCs/>
        </w:rPr>
        <w:t>Chapitre III : Aspects juridiques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  <w:r w:rsidRPr="008C22BE">
        <w:rPr>
          <w:rFonts w:cs="Calibri"/>
          <w:b/>
          <w:bCs/>
        </w:rPr>
        <w:t>Les contrats clients</w:t>
      </w:r>
    </w:p>
    <w:p w:rsidR="000070FC" w:rsidRPr="008C22BE" w:rsidRDefault="000070FC" w:rsidP="000070FC">
      <w:pPr>
        <w:pStyle w:val="Paragraphedeliste"/>
        <w:numPr>
          <w:ilvl w:val="0"/>
          <w:numId w:val="8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contrat ’porteur’</w:t>
      </w:r>
    </w:p>
    <w:p w:rsidR="000070FC" w:rsidRPr="008C22BE" w:rsidRDefault="000070FC" w:rsidP="000070FC">
      <w:pPr>
        <w:pStyle w:val="Paragraphedeliste"/>
        <w:numPr>
          <w:ilvl w:val="0"/>
          <w:numId w:val="8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Le contrat commerçant 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  <w:r w:rsidRPr="008C22BE">
        <w:rPr>
          <w:rFonts w:cs="Calibri"/>
          <w:b/>
          <w:bCs/>
        </w:rPr>
        <w:t>Chapitre IV : La gestion des risques</w:t>
      </w:r>
    </w:p>
    <w:p w:rsidR="000070FC" w:rsidRPr="008C22BE" w:rsidRDefault="000070FC" w:rsidP="000070FC">
      <w:pPr>
        <w:pStyle w:val="Paragraphedeliste"/>
        <w:numPr>
          <w:ilvl w:val="0"/>
          <w:numId w:val="9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risque "porteur"</w:t>
      </w:r>
    </w:p>
    <w:p w:rsidR="000070FC" w:rsidRPr="008C22BE" w:rsidRDefault="000070FC" w:rsidP="000070FC">
      <w:pPr>
        <w:pStyle w:val="Paragraphedeliste"/>
        <w:numPr>
          <w:ilvl w:val="0"/>
          <w:numId w:val="9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risque "accepteur"</w:t>
      </w:r>
    </w:p>
    <w:p w:rsidR="000070FC" w:rsidRPr="008C22BE" w:rsidRDefault="000070FC" w:rsidP="000070FC">
      <w:pPr>
        <w:pStyle w:val="Paragraphedeliste"/>
        <w:numPr>
          <w:ilvl w:val="0"/>
          <w:numId w:val="9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risque émetteur</w:t>
      </w:r>
    </w:p>
    <w:p w:rsidR="000070FC" w:rsidRPr="008C22BE" w:rsidRDefault="000070FC" w:rsidP="000070FC">
      <w:pPr>
        <w:pStyle w:val="Paragraphedeliste"/>
        <w:numPr>
          <w:ilvl w:val="0"/>
          <w:numId w:val="9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Le risque commerçant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  <w:b/>
          <w:bCs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  <w:r w:rsidRPr="008C22BE">
        <w:rPr>
          <w:rFonts w:cs="Calibri"/>
          <w:b/>
          <w:bCs/>
        </w:rPr>
        <w:t>Chapitre V : La fraude monétique:</w:t>
      </w:r>
      <w:r w:rsidRPr="008C22BE">
        <w:rPr>
          <w:rFonts w:cs="Calibri"/>
        </w:rPr>
        <w:t xml:space="preserve"> Module d’initiation 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Pr="008C22BE" w:rsidRDefault="000070FC" w:rsidP="000070FC">
      <w:pPr>
        <w:pStyle w:val="Paragraphedeliste"/>
        <w:numPr>
          <w:ilvl w:val="0"/>
          <w:numId w:val="10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 xml:space="preserve">Statistiques </w:t>
      </w:r>
    </w:p>
    <w:p w:rsidR="000070FC" w:rsidRPr="008C22BE" w:rsidRDefault="000070FC" w:rsidP="000070FC">
      <w:pPr>
        <w:pStyle w:val="Paragraphedeliste"/>
        <w:numPr>
          <w:ilvl w:val="0"/>
          <w:numId w:val="10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Type  de fraude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  <w:r w:rsidRPr="008C22BE">
        <w:rPr>
          <w:rFonts w:cs="Calibri"/>
          <w:b/>
          <w:bCs/>
        </w:rPr>
        <w:t>Chapitre VI : La gestion des litiges</w:t>
      </w:r>
    </w:p>
    <w:p w:rsidR="000070FC" w:rsidRPr="008C22BE" w:rsidRDefault="000070FC" w:rsidP="000070FC">
      <w:pPr>
        <w:pStyle w:val="Paragraphedeliste"/>
        <w:numPr>
          <w:ilvl w:val="0"/>
          <w:numId w:val="11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Principes généraux</w:t>
      </w:r>
    </w:p>
    <w:p w:rsidR="000070FC" w:rsidRPr="008C22BE" w:rsidRDefault="000070FC" w:rsidP="000070FC">
      <w:pPr>
        <w:pStyle w:val="Paragraphedeliste"/>
        <w:numPr>
          <w:ilvl w:val="0"/>
          <w:numId w:val="11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Litiges domestiques</w:t>
      </w:r>
    </w:p>
    <w:p w:rsidR="000070FC" w:rsidRDefault="000070FC" w:rsidP="000070FC">
      <w:pPr>
        <w:pStyle w:val="Paragraphedeliste"/>
        <w:numPr>
          <w:ilvl w:val="0"/>
          <w:numId w:val="11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Litiges internationaux</w:t>
      </w:r>
    </w:p>
    <w:p w:rsidR="000070FC" w:rsidRPr="008C22BE" w:rsidRDefault="000070FC" w:rsidP="000070FC">
      <w:pPr>
        <w:pStyle w:val="Paragraphedeliste"/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  <w:r>
        <w:rPr>
          <w:rFonts w:cs="Calibri"/>
          <w:b/>
          <w:bCs/>
        </w:rPr>
        <w:t>Chapitre VII :</w:t>
      </w:r>
      <w:r w:rsidRPr="008C22BE">
        <w:rPr>
          <w:rFonts w:cs="Calibri"/>
          <w:b/>
          <w:bCs/>
        </w:rPr>
        <w:t xml:space="preserve"> Les évolutions en cours dans le monde et en Tunisie</w:t>
      </w:r>
    </w:p>
    <w:p w:rsidR="000070FC" w:rsidRPr="008C22BE" w:rsidRDefault="000070FC" w:rsidP="000070FC">
      <w:pPr>
        <w:pStyle w:val="Paragraphedeliste"/>
        <w:numPr>
          <w:ilvl w:val="0"/>
          <w:numId w:val="12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8C22BE">
        <w:rPr>
          <w:rFonts w:cs="Calibri"/>
          <w:sz w:val="24"/>
          <w:szCs w:val="24"/>
          <w:lang w:eastAsia="fr-FR"/>
        </w:rPr>
        <w:t>Techniques : extension de la monétique : le mobile payement…</w:t>
      </w:r>
    </w:p>
    <w:p w:rsidR="000070FC" w:rsidRPr="00A72A2F" w:rsidRDefault="000070FC" w:rsidP="000070FC">
      <w:pPr>
        <w:pStyle w:val="Paragraphedeliste"/>
        <w:numPr>
          <w:ilvl w:val="0"/>
          <w:numId w:val="12"/>
        </w:numPr>
        <w:shd w:val="clear" w:color="auto" w:fill="FFFFFF"/>
        <w:spacing w:after="0" w:line="210" w:lineRule="atLeast"/>
        <w:jc w:val="both"/>
        <w:rPr>
          <w:rFonts w:cs="Calibri"/>
          <w:sz w:val="24"/>
          <w:szCs w:val="24"/>
          <w:lang w:eastAsia="fr-FR"/>
        </w:rPr>
      </w:pPr>
      <w:r w:rsidRPr="00A72A2F">
        <w:rPr>
          <w:rFonts w:cs="Calibri"/>
          <w:sz w:val="24"/>
          <w:szCs w:val="24"/>
          <w:lang w:eastAsia="fr-FR"/>
        </w:rPr>
        <w:t xml:space="preserve">Réglementaires </w:t>
      </w: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Pr="008C22BE" w:rsidRDefault="000070FC" w:rsidP="000070FC">
      <w:pPr>
        <w:shd w:val="clear" w:color="auto" w:fill="FFFFFF"/>
        <w:spacing w:line="210" w:lineRule="atLeast"/>
        <w:jc w:val="both"/>
        <w:rPr>
          <w:rFonts w:cs="Calibri"/>
        </w:rPr>
      </w:pPr>
    </w:p>
    <w:p w:rsidR="000070FC" w:rsidRDefault="000070FC" w:rsidP="000070FC"/>
    <w:p w:rsidR="000070FC" w:rsidRDefault="000070FC" w:rsidP="000070FC"/>
    <w:p w:rsidR="000070FC" w:rsidRDefault="000070FC" w:rsidP="000070FC"/>
    <w:p w:rsidR="000070FC" w:rsidRPr="00C87EC3" w:rsidRDefault="000070FC" w:rsidP="000070FC"/>
    <w:p w:rsidR="000070FC" w:rsidRDefault="000070FC" w:rsidP="000070FC"/>
    <w:p w:rsidR="000070FC" w:rsidRDefault="000070FC" w:rsidP="000070FC"/>
    <w:p w:rsidR="007C5D5D" w:rsidRDefault="007C5D5D"/>
    <w:sectPr w:rsidR="007C5D5D" w:rsidSect="007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01"/>
    <w:multiLevelType w:val="hybridMultilevel"/>
    <w:tmpl w:val="D24436DA"/>
    <w:lvl w:ilvl="0" w:tplc="B136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7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6A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2B1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D5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CA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454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AC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ED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54A92"/>
    <w:multiLevelType w:val="hybridMultilevel"/>
    <w:tmpl w:val="F53A5DEE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5508"/>
    <w:multiLevelType w:val="multilevel"/>
    <w:tmpl w:val="D27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D437A"/>
    <w:multiLevelType w:val="hybridMultilevel"/>
    <w:tmpl w:val="0F848E68"/>
    <w:lvl w:ilvl="0" w:tplc="E4983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15FC"/>
    <w:multiLevelType w:val="hybridMultilevel"/>
    <w:tmpl w:val="1624DAB0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529F"/>
    <w:multiLevelType w:val="hybridMultilevel"/>
    <w:tmpl w:val="D97AD300"/>
    <w:lvl w:ilvl="0" w:tplc="70468F24">
      <w:start w:val="3"/>
      <w:numFmt w:val="decimal"/>
      <w:lvlText w:val="%1-"/>
      <w:lvlJc w:val="left"/>
      <w:pPr>
        <w:ind w:left="720" w:hanging="360"/>
      </w:pPr>
      <w:rPr>
        <w:rFonts w:hint="default"/>
        <w:b/>
        <w:color w:val="0000FF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D7C"/>
    <w:multiLevelType w:val="hybridMultilevel"/>
    <w:tmpl w:val="9C867174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0939"/>
    <w:multiLevelType w:val="hybridMultilevel"/>
    <w:tmpl w:val="1C1480A0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6900"/>
    <w:multiLevelType w:val="hybridMultilevel"/>
    <w:tmpl w:val="20BC3F18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3B1E"/>
    <w:multiLevelType w:val="hybridMultilevel"/>
    <w:tmpl w:val="7EAE636A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AD1"/>
    <w:multiLevelType w:val="hybridMultilevel"/>
    <w:tmpl w:val="8BA6CFBE"/>
    <w:lvl w:ilvl="0" w:tplc="FD82F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6EB9"/>
    <w:multiLevelType w:val="hybridMultilevel"/>
    <w:tmpl w:val="868E94DE"/>
    <w:lvl w:ilvl="0" w:tplc="5BB0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E37"/>
    <w:rsid w:val="000070FC"/>
    <w:rsid w:val="000077E1"/>
    <w:rsid w:val="000C32BB"/>
    <w:rsid w:val="00176649"/>
    <w:rsid w:val="00333D06"/>
    <w:rsid w:val="00336489"/>
    <w:rsid w:val="003A7745"/>
    <w:rsid w:val="004058CE"/>
    <w:rsid w:val="004403AB"/>
    <w:rsid w:val="00585F9D"/>
    <w:rsid w:val="005B7236"/>
    <w:rsid w:val="005C04DE"/>
    <w:rsid w:val="005C48C3"/>
    <w:rsid w:val="00661BA9"/>
    <w:rsid w:val="00680F15"/>
    <w:rsid w:val="00737414"/>
    <w:rsid w:val="007459D9"/>
    <w:rsid w:val="007C5D5D"/>
    <w:rsid w:val="00893C1F"/>
    <w:rsid w:val="00934242"/>
    <w:rsid w:val="009A040A"/>
    <w:rsid w:val="00A56890"/>
    <w:rsid w:val="00AA2C4A"/>
    <w:rsid w:val="00B87FD3"/>
    <w:rsid w:val="00C31BC8"/>
    <w:rsid w:val="00D14456"/>
    <w:rsid w:val="00DF09D7"/>
    <w:rsid w:val="00E033D4"/>
    <w:rsid w:val="00E26E37"/>
    <w:rsid w:val="00E379B4"/>
    <w:rsid w:val="00E627B2"/>
    <w:rsid w:val="00F219E0"/>
    <w:rsid w:val="00F36FCE"/>
    <w:rsid w:val="00FE0FB9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uiPriority w:val="99"/>
    <w:qFormat/>
    <w:rsid w:val="00893C1F"/>
    <w:pPr>
      <w:keepNext/>
      <w:bidi/>
      <w:jc w:val="both"/>
      <w:outlineLvl w:val="0"/>
    </w:pPr>
    <w:rPr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E37"/>
    <w:pPr>
      <w:spacing w:after="200" w:line="276" w:lineRule="auto"/>
      <w:ind w:left="720"/>
      <w:contextualSpacing/>
    </w:pPr>
    <w:rPr>
      <w:rFonts w:ascii="Rockwell" w:hAnsi="Rockwell"/>
      <w:sz w:val="22"/>
      <w:szCs w:val="22"/>
      <w:lang w:eastAsia="en-US" w:bidi="en-US"/>
    </w:rPr>
  </w:style>
  <w:style w:type="character" w:styleId="lev">
    <w:name w:val="Strong"/>
    <w:uiPriority w:val="22"/>
    <w:qFormat/>
    <w:rsid w:val="00E26E37"/>
    <w:rPr>
      <w:b/>
      <w:bCs/>
    </w:rPr>
  </w:style>
  <w:style w:type="paragraph" w:customStyle="1" w:styleId="texteifgp2">
    <w:name w:val="texteifgp2"/>
    <w:basedOn w:val="Normal"/>
    <w:rsid w:val="00E26E37"/>
    <w:pPr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E2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ouligner1">
    <w:name w:val="souligner1"/>
    <w:basedOn w:val="Policepardfaut"/>
    <w:rsid w:val="00E26E37"/>
    <w:rPr>
      <w:u w:val="single"/>
    </w:rPr>
  </w:style>
  <w:style w:type="paragraph" w:customStyle="1" w:styleId="Contenudetableau">
    <w:name w:val="Contenu de tableau"/>
    <w:basedOn w:val="Normal"/>
    <w:rsid w:val="004403A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9"/>
    <w:rsid w:val="00893C1F"/>
    <w:rPr>
      <w:rFonts w:ascii="Times New Roman" w:eastAsia="Times New Roman" w:hAnsi="Times New Roman" w:cs="Times New Roman"/>
      <w:b/>
      <w:bCs/>
      <w:sz w:val="24"/>
      <w:szCs w:val="28"/>
      <w:u w:val="single"/>
      <w:lang w:eastAsia="fr-FR" w:bidi="ar-TN"/>
    </w:rPr>
  </w:style>
  <w:style w:type="paragraph" w:customStyle="1" w:styleId="2">
    <w:name w:val="2"/>
    <w:basedOn w:val="Titre"/>
    <w:rsid w:val="000070FC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styleId="Lgende">
    <w:name w:val="caption"/>
    <w:basedOn w:val="Normal"/>
    <w:next w:val="Normal"/>
    <w:qFormat/>
    <w:rsid w:val="000070FC"/>
    <w:pPr>
      <w:jc w:val="center"/>
    </w:pPr>
    <w:rPr>
      <w:b/>
      <w:bCs/>
      <w:color w:val="0000FF"/>
      <w:sz w:val="32"/>
      <w:szCs w:val="32"/>
    </w:rPr>
  </w:style>
  <w:style w:type="character" w:styleId="Accentuation">
    <w:name w:val="Emphasis"/>
    <w:uiPriority w:val="20"/>
    <w:qFormat/>
    <w:rsid w:val="000070FC"/>
    <w:rPr>
      <w:b/>
      <w:bCs/>
      <w:i w:val="0"/>
      <w:iCs w:val="0"/>
    </w:rPr>
  </w:style>
  <w:style w:type="character" w:customStyle="1" w:styleId="evidence">
    <w:name w:val="evidence"/>
    <w:basedOn w:val="Policepardfaut"/>
    <w:rsid w:val="000070FC"/>
  </w:style>
  <w:style w:type="character" w:customStyle="1" w:styleId="st1">
    <w:name w:val="st1"/>
    <w:basedOn w:val="Policepardfaut"/>
    <w:rsid w:val="000070FC"/>
  </w:style>
  <w:style w:type="character" w:customStyle="1" w:styleId="st">
    <w:name w:val="st"/>
    <w:basedOn w:val="Policepardfaut"/>
    <w:rsid w:val="000070FC"/>
  </w:style>
  <w:style w:type="paragraph" w:styleId="Titre">
    <w:name w:val="Title"/>
    <w:basedOn w:val="Normal"/>
    <w:next w:val="Normal"/>
    <w:link w:val="TitreCar"/>
    <w:uiPriority w:val="10"/>
    <w:qFormat/>
    <w:rsid w:val="000070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esce</cp:lastModifiedBy>
  <cp:revision>2</cp:revision>
  <cp:lastPrinted>2014-03-14T13:44:00Z</cp:lastPrinted>
  <dcterms:created xsi:type="dcterms:W3CDTF">2014-04-14T13:31:00Z</dcterms:created>
  <dcterms:modified xsi:type="dcterms:W3CDTF">2014-04-14T13:31:00Z</dcterms:modified>
</cp:coreProperties>
</file>