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37" w:rsidRDefault="00E26E37" w:rsidP="00E26E37">
      <w:pPr>
        <w:autoSpaceDE w:val="0"/>
        <w:autoSpaceDN w:val="0"/>
        <w:adjustRightInd w:val="0"/>
        <w:jc w:val="center"/>
        <w:rPr>
          <w:b/>
          <w:bCs/>
          <w:color w:val="810000"/>
          <w:sz w:val="32"/>
          <w:szCs w:val="32"/>
          <w:lang w:bidi="ar-SA"/>
        </w:rPr>
      </w:pPr>
      <w:r>
        <w:rPr>
          <w:b/>
          <w:bCs/>
          <w:color w:val="810000"/>
          <w:sz w:val="32"/>
          <w:szCs w:val="32"/>
          <w:lang w:bidi="ar-SA"/>
        </w:rPr>
        <w:t xml:space="preserve">Fiche descriptive d’une unité d’enseignement (UE) </w:t>
      </w:r>
    </w:p>
    <w:p w:rsidR="00E26E37" w:rsidRPr="00CE7B51" w:rsidRDefault="00E26E37" w:rsidP="00E26E37">
      <w:pPr>
        <w:autoSpaceDE w:val="0"/>
        <w:autoSpaceDN w:val="0"/>
        <w:adjustRightInd w:val="0"/>
        <w:jc w:val="center"/>
        <w:rPr>
          <w:b/>
          <w:bCs/>
          <w:color w:val="810000"/>
          <w:sz w:val="32"/>
          <w:szCs w:val="32"/>
          <w:lang w:bidi="ar-SA"/>
        </w:rPr>
      </w:pPr>
      <w:proofErr w:type="gramStart"/>
      <w:r>
        <w:rPr>
          <w:b/>
          <w:bCs/>
          <w:color w:val="810000"/>
          <w:sz w:val="28"/>
          <w:szCs w:val="28"/>
          <w:lang w:bidi="ar-SA"/>
        </w:rPr>
        <w:t>et</w:t>
      </w:r>
      <w:proofErr w:type="gramEnd"/>
      <w:r>
        <w:rPr>
          <w:b/>
          <w:bCs/>
          <w:color w:val="810000"/>
          <w:sz w:val="28"/>
          <w:szCs w:val="28"/>
          <w:lang w:bidi="ar-SA"/>
        </w:rPr>
        <w:t xml:space="preserve"> de ses éléments constitutifs (ECUE)</w:t>
      </w:r>
    </w:p>
    <w:p w:rsidR="00E26E37" w:rsidRDefault="00E26E37" w:rsidP="00E26E37">
      <w:pPr>
        <w:autoSpaceDE w:val="0"/>
        <w:autoSpaceDN w:val="0"/>
        <w:adjustRightInd w:val="0"/>
        <w:jc w:val="center"/>
        <w:rPr>
          <w:b/>
          <w:bCs/>
          <w:color w:val="000000"/>
          <w:sz w:val="28"/>
          <w:szCs w:val="28"/>
          <w:lang w:bidi="ar-SA"/>
        </w:rPr>
      </w:pP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FF"/>
          <w:sz w:val="28"/>
          <w:szCs w:val="28"/>
          <w:lang w:bidi="ar-SA"/>
        </w:rPr>
      </w:pPr>
      <w:r>
        <w:rPr>
          <w:b/>
          <w:bCs/>
          <w:color w:val="0000FF"/>
          <w:sz w:val="28"/>
          <w:szCs w:val="28"/>
          <w:lang w:bidi="ar-SA"/>
        </w:rPr>
        <w:t>Intitulé de l’UE</w:t>
      </w:r>
    </w:p>
    <w:p w:rsidR="001646EC" w:rsidRDefault="001646EC" w:rsidP="00E26E37">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FF"/>
          <w:sz w:val="28"/>
          <w:szCs w:val="28"/>
          <w:lang w:bidi="ar-SA"/>
        </w:rPr>
      </w:pPr>
      <w:r w:rsidRPr="001646EC">
        <w:rPr>
          <w:b/>
          <w:bCs/>
          <w:color w:val="0000FF"/>
          <w:sz w:val="28"/>
          <w:szCs w:val="28"/>
          <w:lang w:bidi="ar-SA"/>
        </w:rPr>
        <w:t>Environnement international</w:t>
      </w:r>
    </w:p>
    <w:p w:rsidR="00E26E37" w:rsidRDefault="00E26E37" w:rsidP="00E26E37">
      <w:pPr>
        <w:autoSpaceDE w:val="0"/>
        <w:autoSpaceDN w:val="0"/>
        <w:adjustRightInd w:val="0"/>
        <w:jc w:val="center"/>
        <w:rPr>
          <w:b/>
          <w:bCs/>
          <w:color w:val="000000"/>
          <w:sz w:val="28"/>
          <w:szCs w:val="28"/>
          <w:bdr w:val="single" w:sz="4" w:space="0" w:color="auto"/>
          <w:lang w:bidi="ar-SA"/>
        </w:rPr>
      </w:pPr>
    </w:p>
    <w:p w:rsidR="00E26E37" w:rsidRPr="00CE7B51" w:rsidRDefault="00E26E37" w:rsidP="001646EC">
      <w:pPr>
        <w:autoSpaceDE w:val="0"/>
        <w:autoSpaceDN w:val="0"/>
        <w:adjustRightInd w:val="0"/>
        <w:jc w:val="center"/>
        <w:rPr>
          <w:b/>
          <w:bCs/>
          <w:color w:val="000000"/>
          <w:sz w:val="28"/>
          <w:szCs w:val="28"/>
          <w:bdr w:val="single" w:sz="4" w:space="0" w:color="auto"/>
          <w:lang w:bidi="ar-SA"/>
        </w:rPr>
      </w:pPr>
      <w:r w:rsidRPr="00CE7B51">
        <w:rPr>
          <w:b/>
          <w:bCs/>
          <w:color w:val="000000"/>
          <w:sz w:val="28"/>
          <w:szCs w:val="28"/>
          <w:bdr w:val="single" w:sz="4" w:space="0" w:color="auto"/>
          <w:lang w:bidi="ar-SA"/>
        </w:rPr>
        <w:t>Nombre de crédit</w:t>
      </w:r>
      <w:r w:rsidR="008532FC">
        <w:rPr>
          <w:b/>
          <w:bCs/>
          <w:color w:val="000000"/>
          <w:sz w:val="28"/>
          <w:szCs w:val="28"/>
          <w:bdr w:val="single" w:sz="4" w:space="0" w:color="auto"/>
          <w:lang w:bidi="ar-SA"/>
        </w:rPr>
        <w:t>s…</w:t>
      </w:r>
      <w:r w:rsidR="00C67D66">
        <w:rPr>
          <w:b/>
          <w:bCs/>
          <w:color w:val="000000"/>
          <w:sz w:val="28"/>
          <w:szCs w:val="28"/>
          <w:bdr w:val="single" w:sz="4" w:space="0" w:color="auto"/>
          <w:lang w:bidi="ar-SA"/>
        </w:rPr>
        <w:t>07</w:t>
      </w:r>
      <w:r>
        <w:rPr>
          <w:b/>
          <w:bCs/>
          <w:color w:val="000000"/>
          <w:sz w:val="28"/>
          <w:szCs w:val="28"/>
          <w:bdr w:val="single" w:sz="4" w:space="0" w:color="auto"/>
          <w:lang w:bidi="ar-SA"/>
        </w:rPr>
        <w:t>…</w:t>
      </w:r>
    </w:p>
    <w:p w:rsidR="00E26E37" w:rsidRDefault="00E26E37" w:rsidP="001646EC">
      <w:pPr>
        <w:autoSpaceDE w:val="0"/>
        <w:autoSpaceDN w:val="0"/>
        <w:adjustRightInd w:val="0"/>
        <w:jc w:val="center"/>
        <w:rPr>
          <w:b/>
          <w:bCs/>
          <w:color w:val="000000"/>
          <w:sz w:val="28"/>
          <w:szCs w:val="28"/>
          <w:bdr w:val="single" w:sz="4" w:space="0" w:color="auto"/>
          <w:lang w:bidi="ar-SA"/>
        </w:rPr>
      </w:pPr>
      <w:r w:rsidRPr="00CE7B51">
        <w:rPr>
          <w:b/>
          <w:bCs/>
          <w:color w:val="000000"/>
          <w:sz w:val="28"/>
          <w:szCs w:val="28"/>
          <w:bdr w:val="single" w:sz="4" w:space="0" w:color="auto"/>
          <w:lang w:bidi="ar-SA"/>
        </w:rPr>
        <w:t>Code UE</w:t>
      </w:r>
      <w:r>
        <w:rPr>
          <w:b/>
          <w:bCs/>
          <w:color w:val="000000"/>
          <w:sz w:val="28"/>
          <w:szCs w:val="28"/>
          <w:bdr w:val="single" w:sz="4" w:space="0" w:color="auto"/>
          <w:lang w:bidi="ar-SA"/>
        </w:rPr>
        <w:t>…….</w:t>
      </w:r>
      <w:proofErr w:type="gramStart"/>
      <w:r w:rsidRPr="004403AB">
        <w:rPr>
          <w:b/>
          <w:bCs/>
          <w:color w:val="FF0000"/>
          <w:sz w:val="28"/>
          <w:szCs w:val="28"/>
          <w:bdr w:val="single" w:sz="4" w:space="0" w:color="auto"/>
          <w:lang w:bidi="ar-SA"/>
        </w:rPr>
        <w:t>UE</w:t>
      </w:r>
      <w:r w:rsidR="00176649">
        <w:rPr>
          <w:b/>
          <w:bCs/>
          <w:color w:val="FF0000"/>
          <w:sz w:val="28"/>
          <w:szCs w:val="28"/>
          <w:bdr w:val="single" w:sz="4" w:space="0" w:color="auto"/>
          <w:lang w:bidi="ar-SA"/>
        </w:rPr>
        <w:t>2</w:t>
      </w:r>
      <w:r w:rsidR="001646EC">
        <w:rPr>
          <w:b/>
          <w:bCs/>
          <w:color w:val="FF0000"/>
          <w:sz w:val="28"/>
          <w:szCs w:val="28"/>
          <w:bdr w:val="single" w:sz="4" w:space="0" w:color="auto"/>
          <w:lang w:bidi="ar-SA"/>
        </w:rPr>
        <w:t>4</w:t>
      </w:r>
      <w:r>
        <w:rPr>
          <w:b/>
          <w:bCs/>
          <w:color w:val="000000"/>
          <w:sz w:val="28"/>
          <w:szCs w:val="28"/>
          <w:bdr w:val="single" w:sz="4" w:space="0" w:color="auto"/>
          <w:lang w:bidi="ar-SA"/>
        </w:rPr>
        <w:t>.……….</w:t>
      </w:r>
      <w:proofErr w:type="gramEnd"/>
    </w:p>
    <w:p w:rsidR="00E26E37" w:rsidRDefault="00E26E37" w:rsidP="00E26E37">
      <w:pPr>
        <w:pBdr>
          <w:top w:val="single" w:sz="4" w:space="0" w:color="auto"/>
          <w:left w:val="single" w:sz="4" w:space="4" w:color="auto"/>
          <w:bottom w:val="single" w:sz="4" w:space="1" w:color="auto"/>
          <w:right w:val="single" w:sz="4" w:space="4" w:color="auto"/>
        </w:pBdr>
        <w:autoSpaceDE w:val="0"/>
        <w:autoSpaceDN w:val="0"/>
        <w:adjustRightInd w:val="0"/>
        <w:jc w:val="both"/>
        <w:rPr>
          <w:sz w:val="20"/>
          <w:szCs w:val="20"/>
          <w:lang w:bidi="ar-SA"/>
        </w:rPr>
      </w:pPr>
      <w:r>
        <w:rPr>
          <w:b/>
          <w:bCs/>
          <w:lang w:bidi="ar-SA"/>
        </w:rPr>
        <w:t xml:space="preserve">Université : </w:t>
      </w:r>
      <w:r w:rsidRPr="00BF429F">
        <w:rPr>
          <w:b/>
          <w:bCs/>
          <w:color w:val="0000FF"/>
          <w:lang w:bidi="ar-SA"/>
        </w:rPr>
        <w:t xml:space="preserve">Université de </w:t>
      </w:r>
      <w:proofErr w:type="spellStart"/>
      <w:r>
        <w:rPr>
          <w:b/>
          <w:bCs/>
          <w:color w:val="0000FF"/>
          <w:lang w:bidi="ar-SA"/>
        </w:rPr>
        <w:t>Manouba</w:t>
      </w:r>
      <w:proofErr w:type="spellEnd"/>
      <w:r>
        <w:rPr>
          <w:b/>
          <w:bCs/>
          <w:lang w:bidi="ar-SA"/>
        </w:rPr>
        <w:t xml:space="preserve"> ……Etablissement : ESEN </w:t>
      </w:r>
    </w:p>
    <w:p w:rsidR="00E26E37" w:rsidRDefault="00E26E37" w:rsidP="00E26E37">
      <w:pPr>
        <w:autoSpaceDE w:val="0"/>
        <w:autoSpaceDN w:val="0"/>
        <w:adjustRightInd w:val="0"/>
        <w:rPr>
          <w:b/>
          <w:bCs/>
          <w:lang w:bidi="ar-SA"/>
        </w:rPr>
      </w:pPr>
    </w:p>
    <w:tbl>
      <w:tblPr>
        <w:tblW w:w="9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2523"/>
      </w:tblGrid>
      <w:tr w:rsidR="00E26E37" w:rsidRPr="00404595" w:rsidTr="00CD0AE9">
        <w:tc>
          <w:tcPr>
            <w:tcW w:w="7338" w:type="dxa"/>
            <w:tcBorders>
              <w:right w:val="single" w:sz="4" w:space="0" w:color="auto"/>
            </w:tcBorders>
          </w:tcPr>
          <w:p w:rsidR="00E26E37" w:rsidRPr="00404595" w:rsidRDefault="00E26E37" w:rsidP="00EE2678">
            <w:pPr>
              <w:autoSpaceDE w:val="0"/>
              <w:autoSpaceDN w:val="0"/>
              <w:adjustRightInd w:val="0"/>
              <w:rPr>
                <w:b/>
                <w:bCs/>
                <w:lang w:bidi="ar-SA"/>
              </w:rPr>
            </w:pPr>
            <w:r w:rsidRPr="00404595">
              <w:rPr>
                <w:b/>
                <w:bCs/>
                <w:lang w:bidi="ar-SA"/>
              </w:rPr>
              <w:t xml:space="preserve">Domaine de formation : </w:t>
            </w:r>
            <w:r w:rsidR="00EE2678">
              <w:rPr>
                <w:b/>
                <w:bCs/>
                <w:color w:val="0000FF"/>
                <w:lang w:bidi="ar-SA"/>
              </w:rPr>
              <w:t>Sciences et technologies</w:t>
            </w:r>
          </w:p>
        </w:tc>
        <w:tc>
          <w:tcPr>
            <w:tcW w:w="2523" w:type="dxa"/>
            <w:tcBorders>
              <w:left w:val="single" w:sz="4" w:space="0" w:color="auto"/>
            </w:tcBorders>
          </w:tcPr>
          <w:p w:rsidR="00E26E37" w:rsidRPr="00404595" w:rsidRDefault="00E26E37" w:rsidP="00EE2678">
            <w:pPr>
              <w:autoSpaceDE w:val="0"/>
              <w:autoSpaceDN w:val="0"/>
              <w:adjustRightInd w:val="0"/>
              <w:rPr>
                <w:b/>
                <w:bCs/>
                <w:lang w:bidi="ar-SA"/>
              </w:rPr>
            </w:pPr>
            <w:r w:rsidRPr="00404595">
              <w:rPr>
                <w:b/>
                <w:bCs/>
                <w:lang w:bidi="ar-SA"/>
              </w:rPr>
              <w:t>Mention :</w:t>
            </w:r>
            <w:r>
              <w:rPr>
                <w:b/>
                <w:bCs/>
                <w:lang w:bidi="ar-SA"/>
              </w:rPr>
              <w:t xml:space="preserve"> </w:t>
            </w:r>
            <w:r w:rsidR="00EE2678">
              <w:rPr>
                <w:b/>
                <w:bCs/>
                <w:lang w:bidi="ar-SA"/>
              </w:rPr>
              <w:t>IAG</w:t>
            </w:r>
          </w:p>
        </w:tc>
      </w:tr>
      <w:tr w:rsidR="00E26E37" w:rsidRPr="00404595" w:rsidTr="00CD0AE9">
        <w:tc>
          <w:tcPr>
            <w:tcW w:w="7338" w:type="dxa"/>
            <w:tcBorders>
              <w:right w:val="single" w:sz="4" w:space="0" w:color="auto"/>
            </w:tcBorders>
          </w:tcPr>
          <w:p w:rsidR="00E26E37" w:rsidRPr="00404595" w:rsidRDefault="00E26E37" w:rsidP="00CD0AE9">
            <w:pPr>
              <w:autoSpaceDE w:val="0"/>
              <w:autoSpaceDN w:val="0"/>
              <w:adjustRightInd w:val="0"/>
              <w:rPr>
                <w:b/>
                <w:bCs/>
                <w:lang w:bidi="ar-SA"/>
              </w:rPr>
            </w:pPr>
            <w:r w:rsidRPr="00404595">
              <w:rPr>
                <w:b/>
                <w:bCs/>
                <w:lang w:bidi="ar-SA"/>
              </w:rPr>
              <w:t>Diplôme et Parcours</w:t>
            </w:r>
          </w:p>
          <w:p w:rsidR="00E26E37" w:rsidRPr="00404595" w:rsidRDefault="00E26E37" w:rsidP="00EE2678">
            <w:pPr>
              <w:autoSpaceDE w:val="0"/>
              <w:autoSpaceDN w:val="0"/>
              <w:adjustRightInd w:val="0"/>
              <w:rPr>
                <w:b/>
                <w:bCs/>
                <w:lang w:bidi="ar-SA"/>
              </w:rPr>
            </w:pPr>
            <w:r>
              <w:rPr>
                <w:b/>
                <w:bCs/>
                <w:color w:val="32519E"/>
                <w:lang w:bidi="ar-SA"/>
              </w:rPr>
              <w:t>Mastère</w:t>
            </w:r>
            <w:r w:rsidRPr="00404595">
              <w:rPr>
                <w:b/>
                <w:bCs/>
                <w:color w:val="32519E"/>
                <w:lang w:bidi="ar-SA"/>
              </w:rPr>
              <w:t xml:space="preserve"> Professionnel</w:t>
            </w:r>
            <w:r w:rsidRPr="00404595">
              <w:rPr>
                <w:b/>
                <w:bCs/>
                <w:lang w:bidi="ar-SA"/>
              </w:rPr>
              <w:t xml:space="preserve"> ……Parcours : </w:t>
            </w:r>
            <w:r w:rsidR="00EE2678">
              <w:rPr>
                <w:b/>
                <w:bCs/>
                <w:lang w:bidi="ar-SA"/>
              </w:rPr>
              <w:t>Commerce Electronique</w:t>
            </w:r>
          </w:p>
          <w:p w:rsidR="00E26E37" w:rsidRPr="00404595" w:rsidRDefault="00E26E37" w:rsidP="00CD0AE9">
            <w:pPr>
              <w:autoSpaceDE w:val="0"/>
              <w:autoSpaceDN w:val="0"/>
              <w:adjustRightInd w:val="0"/>
              <w:rPr>
                <w:b/>
                <w:bCs/>
                <w:lang w:bidi="ar-SA"/>
              </w:rPr>
            </w:pPr>
          </w:p>
        </w:tc>
        <w:tc>
          <w:tcPr>
            <w:tcW w:w="2523" w:type="dxa"/>
            <w:tcBorders>
              <w:left w:val="single" w:sz="4" w:space="0" w:color="auto"/>
            </w:tcBorders>
          </w:tcPr>
          <w:p w:rsidR="00E26E37" w:rsidRPr="00404595" w:rsidRDefault="00E26E37" w:rsidP="002F1217">
            <w:pPr>
              <w:autoSpaceDE w:val="0"/>
              <w:autoSpaceDN w:val="0"/>
              <w:adjustRightInd w:val="0"/>
              <w:rPr>
                <w:b/>
                <w:bCs/>
                <w:lang w:bidi="ar-SA"/>
              </w:rPr>
            </w:pPr>
            <w:r w:rsidRPr="00404595">
              <w:rPr>
                <w:b/>
                <w:bCs/>
                <w:lang w:bidi="ar-SA"/>
              </w:rPr>
              <w:t>Semestre…</w:t>
            </w:r>
            <w:r w:rsidRPr="00404595">
              <w:rPr>
                <w:b/>
                <w:bCs/>
                <w:color w:val="32519E"/>
                <w:lang w:bidi="ar-SA"/>
              </w:rPr>
              <w:t>S</w:t>
            </w:r>
            <w:r w:rsidR="002F1217">
              <w:rPr>
                <w:b/>
                <w:bCs/>
                <w:color w:val="32519E"/>
                <w:lang w:bidi="ar-SA"/>
              </w:rPr>
              <w:t>2</w:t>
            </w:r>
          </w:p>
          <w:p w:rsidR="00E26E37" w:rsidRPr="00404595" w:rsidRDefault="00E26E37" w:rsidP="00CD0AE9">
            <w:pPr>
              <w:autoSpaceDE w:val="0"/>
              <w:autoSpaceDN w:val="0"/>
              <w:adjustRightInd w:val="0"/>
              <w:rPr>
                <w:b/>
                <w:bCs/>
                <w:lang w:bidi="ar-SA"/>
              </w:rPr>
            </w:pPr>
          </w:p>
        </w:tc>
      </w:tr>
    </w:tbl>
    <w:p w:rsidR="00E26E37" w:rsidRDefault="00E26E37" w:rsidP="00E26E37">
      <w:pPr>
        <w:autoSpaceDE w:val="0"/>
        <w:autoSpaceDN w:val="0"/>
        <w:adjustRightInd w:val="0"/>
        <w:jc w:val="both"/>
        <w:rPr>
          <w:b/>
          <w:bCs/>
          <w:lang w:bidi="ar-SA"/>
        </w:rPr>
      </w:pPr>
    </w:p>
    <w:p w:rsidR="00E26E37" w:rsidRPr="00BB7367" w:rsidRDefault="00E26E37" w:rsidP="00E26E37">
      <w:pPr>
        <w:pStyle w:val="Paragraphedeliste"/>
        <w:numPr>
          <w:ilvl w:val="0"/>
          <w:numId w:val="1"/>
        </w:numPr>
        <w:autoSpaceDE w:val="0"/>
        <w:autoSpaceDN w:val="0"/>
        <w:adjustRightInd w:val="0"/>
        <w:spacing w:after="0" w:line="240" w:lineRule="auto"/>
        <w:rPr>
          <w:rFonts w:ascii="Times New Roman" w:hAnsi="Times New Roman"/>
          <w:b/>
          <w:bCs/>
          <w:color w:val="0000FF"/>
          <w:sz w:val="24"/>
          <w:szCs w:val="24"/>
          <w:lang w:bidi="ar-SA"/>
        </w:rPr>
      </w:pPr>
      <w:r w:rsidRPr="00BB7367">
        <w:rPr>
          <w:rFonts w:ascii="Times New Roman" w:hAnsi="Times New Roman"/>
          <w:b/>
          <w:bCs/>
          <w:color w:val="0000FF"/>
          <w:sz w:val="24"/>
          <w:szCs w:val="24"/>
          <w:lang w:bidi="ar-SA"/>
        </w:rPr>
        <w:t xml:space="preserve">Objectifs de l’UE </w:t>
      </w:r>
      <w:r w:rsidRPr="00BB7367">
        <w:rPr>
          <w:rFonts w:ascii="Times New Roman" w:hAnsi="Times New Roman"/>
          <w:color w:val="0000FF"/>
          <w:sz w:val="24"/>
          <w:szCs w:val="24"/>
          <w:lang w:bidi="ar-SA"/>
        </w:rPr>
        <w:t>(Savoirs, aptitudes et compétences</w:t>
      </w:r>
      <w:r w:rsidRPr="00BB7367">
        <w:rPr>
          <w:rFonts w:ascii="Times New Roman" w:hAnsi="Times New Roman"/>
          <w:b/>
          <w:bCs/>
          <w:color w:val="0000FF"/>
          <w:sz w:val="24"/>
          <w:szCs w:val="24"/>
          <w:lang w:bidi="ar-SA"/>
        </w:rPr>
        <w:t>)</w:t>
      </w:r>
    </w:p>
    <w:p w:rsidR="00E52DCA" w:rsidRDefault="00E52DCA" w:rsidP="00E52DCA">
      <w:pPr>
        <w:pBdr>
          <w:top w:val="single" w:sz="4" w:space="1" w:color="auto"/>
          <w:left w:val="single" w:sz="4" w:space="4" w:color="auto"/>
          <w:bottom w:val="single" w:sz="4" w:space="0" w:color="auto"/>
          <w:right w:val="single" w:sz="4" w:space="5" w:color="auto"/>
        </w:pBdr>
        <w:spacing w:before="100" w:beforeAutospacing="1" w:after="100" w:afterAutospacing="1"/>
        <w:jc w:val="both"/>
      </w:pPr>
      <w:r>
        <w:rPr>
          <w:lang w:bidi="ar-SA"/>
        </w:rPr>
        <w:t xml:space="preserve">    Analyser les</w:t>
      </w:r>
      <w:r w:rsidRPr="00A34CF3">
        <w:t xml:space="preserve"> facteurs économiques, politiques, culturels et légaux en relation avec les possibilités </w:t>
      </w:r>
      <w:r>
        <w:t xml:space="preserve">business et </w:t>
      </w:r>
      <w:proofErr w:type="spellStart"/>
      <w:r>
        <w:t>e_business</w:t>
      </w:r>
      <w:proofErr w:type="spellEnd"/>
      <w:r w:rsidRPr="00A34CF3">
        <w:t xml:space="preserve"> sur les marchés extérieurs.</w:t>
      </w:r>
    </w:p>
    <w:p w:rsidR="00E26E37" w:rsidRDefault="00E52DCA" w:rsidP="00E52DCA">
      <w:pPr>
        <w:pBdr>
          <w:top w:val="single" w:sz="4" w:space="1" w:color="auto"/>
          <w:left w:val="single" w:sz="4" w:space="4" w:color="auto"/>
          <w:bottom w:val="single" w:sz="4" w:space="0" w:color="auto"/>
          <w:right w:val="single" w:sz="4" w:space="5" w:color="auto"/>
        </w:pBdr>
        <w:spacing w:before="100" w:beforeAutospacing="1" w:after="100" w:afterAutospacing="1"/>
        <w:jc w:val="both"/>
        <w:rPr>
          <w:lang w:bidi="ar-SA"/>
        </w:rPr>
      </w:pPr>
      <w:r>
        <w:t xml:space="preserve">Evaluer l’opportunité </w:t>
      </w:r>
      <w:r w:rsidRPr="00A34CF3">
        <w:t>des marchés internationaux</w:t>
      </w:r>
      <w:r>
        <w:t xml:space="preserve"> et maitriser les outils marketing pour conquérir ces marchés</w:t>
      </w:r>
      <w:r w:rsidR="005B7236">
        <w:rPr>
          <w:lang w:bidi="ar-SA"/>
        </w:rPr>
        <w:t>.</w:t>
      </w:r>
    </w:p>
    <w:p w:rsidR="00E26E37" w:rsidRDefault="00E26E37" w:rsidP="00E26E37">
      <w:pPr>
        <w:numPr>
          <w:ilvl w:val="0"/>
          <w:numId w:val="2"/>
        </w:numPr>
        <w:autoSpaceDE w:val="0"/>
        <w:autoSpaceDN w:val="0"/>
        <w:adjustRightInd w:val="0"/>
        <w:ind w:left="330" w:hanging="330"/>
        <w:rPr>
          <w:color w:val="0000FF"/>
          <w:lang w:bidi="ar-SA"/>
        </w:rPr>
      </w:pPr>
      <w:r>
        <w:rPr>
          <w:b/>
          <w:bCs/>
          <w:color w:val="0000FF"/>
          <w:lang w:bidi="ar-SA"/>
        </w:rPr>
        <w:t xml:space="preserve">Pré-requis </w:t>
      </w:r>
      <w:r>
        <w:rPr>
          <w:color w:val="0000FF"/>
          <w:lang w:bidi="ar-SA"/>
        </w:rPr>
        <w:t>(définir les UE et les compétences indispensables pour suivre l’UE concernée)</w:t>
      </w:r>
    </w:p>
    <w:p w:rsidR="00E26E37" w:rsidRPr="00EA3EFA" w:rsidRDefault="00E26E37" w:rsidP="00E26E37">
      <w:pPr>
        <w:pStyle w:val="Paragraphedeliste"/>
        <w:numPr>
          <w:ilvl w:val="0"/>
          <w:numId w:val="2"/>
        </w:numPr>
        <w:tabs>
          <w:tab w:val="left" w:pos="284"/>
        </w:tabs>
        <w:autoSpaceDE w:val="0"/>
        <w:autoSpaceDN w:val="0"/>
        <w:adjustRightInd w:val="0"/>
        <w:spacing w:after="0" w:line="240" w:lineRule="auto"/>
        <w:ind w:left="0" w:firstLine="0"/>
        <w:rPr>
          <w:rFonts w:ascii="Times New Roman" w:hAnsi="Times New Roman"/>
          <w:color w:val="000000"/>
          <w:sz w:val="20"/>
          <w:szCs w:val="20"/>
          <w:lang w:bidi="ar-SA"/>
        </w:rPr>
      </w:pPr>
      <w:r w:rsidRPr="00EA3EFA">
        <w:rPr>
          <w:rFonts w:ascii="Times New Roman" w:hAnsi="Times New Roman"/>
          <w:b/>
          <w:bCs/>
          <w:color w:val="0000FF"/>
          <w:sz w:val="24"/>
          <w:szCs w:val="24"/>
          <w:lang w:bidi="ar-SA"/>
        </w:rPr>
        <w:t xml:space="preserve">Eléments constitutifs de l’UE </w:t>
      </w:r>
      <w:r w:rsidRPr="00EA3EFA">
        <w:rPr>
          <w:rFonts w:ascii="Times New Roman" w:hAnsi="Times New Roman"/>
          <w:color w:val="0000FF"/>
          <w:sz w:val="24"/>
          <w:szCs w:val="24"/>
          <w:lang w:bidi="ar-SA"/>
        </w:rPr>
        <w:t>(ECUE)</w:t>
      </w:r>
    </w:p>
    <w:p w:rsidR="00E26E37" w:rsidRDefault="00E26E37" w:rsidP="00E26E37">
      <w:pPr>
        <w:pStyle w:val="Paragraphedeliste"/>
        <w:tabs>
          <w:tab w:val="left" w:pos="284"/>
        </w:tabs>
        <w:autoSpaceDE w:val="0"/>
        <w:autoSpaceDN w:val="0"/>
        <w:adjustRightInd w:val="0"/>
        <w:spacing w:after="0" w:line="240" w:lineRule="auto"/>
        <w:ind w:left="0"/>
        <w:rPr>
          <w:rFonts w:ascii="Times New Roman" w:hAnsi="Times New Roman"/>
          <w:b/>
          <w:bCs/>
          <w:color w:val="0000FF"/>
          <w:sz w:val="24"/>
          <w:szCs w:val="24"/>
          <w:lang w:bidi="ar-SA"/>
        </w:rPr>
      </w:pPr>
      <w:r>
        <w:rPr>
          <w:rFonts w:ascii="Times New Roman" w:hAnsi="Times New Roman"/>
          <w:b/>
          <w:bCs/>
          <w:color w:val="0000FF"/>
          <w:sz w:val="24"/>
          <w:szCs w:val="24"/>
          <w:lang w:bidi="ar-SA"/>
        </w:rPr>
        <w:t>3.1- Enseignements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7"/>
        <w:gridCol w:w="816"/>
        <w:gridCol w:w="1121"/>
        <w:gridCol w:w="1322"/>
        <w:gridCol w:w="1609"/>
        <w:gridCol w:w="1373"/>
      </w:tblGrid>
      <w:tr w:rsidR="00E26E37" w:rsidRPr="00404595" w:rsidTr="00CD0AE9">
        <w:tc>
          <w:tcPr>
            <w:tcW w:w="3047" w:type="dxa"/>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Eléments constitutifs</w:t>
            </w:r>
          </w:p>
        </w:tc>
        <w:tc>
          <w:tcPr>
            <w:tcW w:w="4868" w:type="dxa"/>
            <w:gridSpan w:val="4"/>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Volume horaire semestriel</w:t>
            </w:r>
          </w:p>
        </w:tc>
        <w:tc>
          <w:tcPr>
            <w:tcW w:w="1373"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sidRPr="00404595">
              <w:rPr>
                <w:rFonts w:ascii="Times New Roman" w:hAnsi="Times New Roman"/>
                <w:color w:val="000000"/>
                <w:sz w:val="24"/>
                <w:szCs w:val="24"/>
                <w:lang w:bidi="ar-SA"/>
              </w:rPr>
              <w:t>Crédits</w:t>
            </w:r>
          </w:p>
        </w:tc>
      </w:tr>
      <w:tr w:rsidR="00E26E37" w:rsidRPr="00404595" w:rsidTr="00CD0AE9">
        <w:tc>
          <w:tcPr>
            <w:tcW w:w="3047"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16"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Cours</w:t>
            </w:r>
          </w:p>
        </w:tc>
        <w:tc>
          <w:tcPr>
            <w:tcW w:w="112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TD</w:t>
            </w:r>
          </w:p>
        </w:tc>
        <w:tc>
          <w:tcPr>
            <w:tcW w:w="1322"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TP</w:t>
            </w:r>
          </w:p>
        </w:tc>
        <w:tc>
          <w:tcPr>
            <w:tcW w:w="1609"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Autres</w:t>
            </w:r>
          </w:p>
        </w:tc>
        <w:tc>
          <w:tcPr>
            <w:tcW w:w="1373"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1646EC" w:rsidRPr="00404595" w:rsidTr="003F261E">
        <w:tc>
          <w:tcPr>
            <w:tcW w:w="3047" w:type="dxa"/>
            <w:vAlign w:val="center"/>
          </w:tcPr>
          <w:p w:rsidR="001646EC" w:rsidRPr="008263CA" w:rsidRDefault="001646EC" w:rsidP="00CD0AE9">
            <w:pPr>
              <w:pStyle w:val="Contenudetableau"/>
              <w:snapToGrid w:val="0"/>
              <w:jc w:val="center"/>
              <w:rPr>
                <w:rFonts w:eastAsia="TimesNewRomanPS-BoldMT" w:cs="Times New Roman"/>
                <w:sz w:val="18"/>
                <w:szCs w:val="18"/>
              </w:rPr>
            </w:pPr>
            <w:r w:rsidRPr="008263CA">
              <w:rPr>
                <w:rFonts w:eastAsia="TimesNewRomanPS-BoldMT" w:cs="Times New Roman"/>
                <w:sz w:val="18"/>
                <w:szCs w:val="18"/>
              </w:rPr>
              <w:t>Marketing international</w:t>
            </w:r>
          </w:p>
        </w:tc>
        <w:tc>
          <w:tcPr>
            <w:tcW w:w="816" w:type="dxa"/>
            <w:tcBorders>
              <w:right w:val="single" w:sz="4" w:space="0" w:color="auto"/>
            </w:tcBorders>
            <w:vAlign w:val="center"/>
          </w:tcPr>
          <w:p w:rsidR="001646EC" w:rsidRPr="00404595" w:rsidRDefault="001646EC"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Pr>
                <w:rFonts w:ascii="Times New Roman" w:hAnsi="Times New Roman"/>
                <w:color w:val="000000"/>
                <w:sz w:val="24"/>
                <w:szCs w:val="24"/>
                <w:lang w:bidi="ar-SA"/>
              </w:rPr>
              <w:t>21</w:t>
            </w:r>
          </w:p>
        </w:tc>
        <w:tc>
          <w:tcPr>
            <w:tcW w:w="1121" w:type="dxa"/>
            <w:tcBorders>
              <w:left w:val="single" w:sz="4" w:space="0" w:color="auto"/>
              <w:right w:val="single" w:sz="4" w:space="0" w:color="auto"/>
            </w:tcBorders>
            <w:vAlign w:val="center"/>
          </w:tcPr>
          <w:p w:rsidR="001646EC" w:rsidRPr="00404595" w:rsidRDefault="001646EC"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p>
        </w:tc>
        <w:tc>
          <w:tcPr>
            <w:tcW w:w="1322" w:type="dxa"/>
            <w:tcBorders>
              <w:left w:val="single" w:sz="4" w:space="0" w:color="auto"/>
              <w:right w:val="single" w:sz="4" w:space="0" w:color="auto"/>
            </w:tcBorders>
            <w:vAlign w:val="center"/>
          </w:tcPr>
          <w:p w:rsidR="001646EC" w:rsidRPr="00404595" w:rsidRDefault="001646EC" w:rsidP="00CD0AE9">
            <w:pPr>
              <w:jc w:val="center"/>
            </w:pPr>
            <w:r w:rsidRPr="00404595">
              <w:rPr>
                <w:color w:val="000000"/>
                <w:lang w:bidi="ar-SA"/>
              </w:rPr>
              <w:t>……..</w:t>
            </w:r>
          </w:p>
        </w:tc>
        <w:tc>
          <w:tcPr>
            <w:tcW w:w="1609" w:type="dxa"/>
            <w:tcBorders>
              <w:left w:val="single" w:sz="4" w:space="0" w:color="auto"/>
            </w:tcBorders>
            <w:vAlign w:val="center"/>
          </w:tcPr>
          <w:p w:rsidR="001646EC" w:rsidRPr="00404595" w:rsidRDefault="001646EC" w:rsidP="00CD0AE9">
            <w:pPr>
              <w:jc w:val="center"/>
            </w:pPr>
            <w:r w:rsidRPr="00404595">
              <w:rPr>
                <w:color w:val="000000"/>
                <w:lang w:bidi="ar-SA"/>
              </w:rPr>
              <w:t>……..</w:t>
            </w:r>
          </w:p>
        </w:tc>
        <w:tc>
          <w:tcPr>
            <w:tcW w:w="1373" w:type="dxa"/>
            <w:vAlign w:val="center"/>
          </w:tcPr>
          <w:p w:rsidR="001646EC" w:rsidRPr="00CC3577" w:rsidRDefault="00C67D66" w:rsidP="00CD0AE9">
            <w:pPr>
              <w:jc w:val="center"/>
              <w:rPr>
                <w:sz w:val="20"/>
                <w:szCs w:val="20"/>
              </w:rPr>
            </w:pPr>
            <w:r>
              <w:rPr>
                <w:sz w:val="20"/>
                <w:szCs w:val="20"/>
              </w:rPr>
              <w:t>4</w:t>
            </w:r>
          </w:p>
        </w:tc>
      </w:tr>
      <w:tr w:rsidR="001646EC" w:rsidRPr="00404595" w:rsidTr="003F261E">
        <w:tc>
          <w:tcPr>
            <w:tcW w:w="3047" w:type="dxa"/>
            <w:vAlign w:val="center"/>
          </w:tcPr>
          <w:p w:rsidR="001646EC" w:rsidRPr="008263CA" w:rsidRDefault="001646EC" w:rsidP="00CD0AE9">
            <w:pPr>
              <w:pStyle w:val="Contenudetableau"/>
              <w:snapToGrid w:val="0"/>
              <w:jc w:val="center"/>
              <w:rPr>
                <w:rFonts w:eastAsia="TimesNewRomanPS-BoldMT" w:cs="Times New Roman"/>
                <w:sz w:val="18"/>
                <w:szCs w:val="18"/>
              </w:rPr>
            </w:pPr>
            <w:r w:rsidRPr="008263CA">
              <w:rPr>
                <w:rFonts w:eastAsia="TimesNewRomanPS-BoldMT" w:cs="Times New Roman"/>
                <w:sz w:val="18"/>
                <w:szCs w:val="18"/>
              </w:rPr>
              <w:t>Environnement économique  international</w:t>
            </w:r>
          </w:p>
        </w:tc>
        <w:tc>
          <w:tcPr>
            <w:tcW w:w="816" w:type="dxa"/>
            <w:tcBorders>
              <w:right w:val="single" w:sz="4" w:space="0" w:color="auto"/>
            </w:tcBorders>
            <w:vAlign w:val="center"/>
          </w:tcPr>
          <w:p w:rsidR="001646EC" w:rsidRDefault="001646EC"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Pr>
                <w:rFonts w:ascii="Times New Roman" w:hAnsi="Times New Roman"/>
                <w:color w:val="000000"/>
                <w:sz w:val="24"/>
                <w:szCs w:val="24"/>
                <w:lang w:bidi="ar-SA"/>
              </w:rPr>
              <w:t>21</w:t>
            </w:r>
          </w:p>
        </w:tc>
        <w:tc>
          <w:tcPr>
            <w:tcW w:w="1121" w:type="dxa"/>
            <w:tcBorders>
              <w:left w:val="single" w:sz="4" w:space="0" w:color="auto"/>
              <w:right w:val="single" w:sz="4" w:space="0" w:color="auto"/>
            </w:tcBorders>
            <w:vAlign w:val="center"/>
          </w:tcPr>
          <w:p w:rsidR="001646EC" w:rsidRPr="00404595" w:rsidRDefault="001646EC"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p>
        </w:tc>
        <w:tc>
          <w:tcPr>
            <w:tcW w:w="1322" w:type="dxa"/>
            <w:tcBorders>
              <w:left w:val="single" w:sz="4" w:space="0" w:color="auto"/>
              <w:right w:val="single" w:sz="4" w:space="0" w:color="auto"/>
            </w:tcBorders>
            <w:vAlign w:val="center"/>
          </w:tcPr>
          <w:p w:rsidR="001646EC" w:rsidRPr="00404595" w:rsidRDefault="001646EC" w:rsidP="00CD0AE9">
            <w:pPr>
              <w:jc w:val="center"/>
              <w:rPr>
                <w:color w:val="000000"/>
                <w:lang w:bidi="ar-SA"/>
              </w:rPr>
            </w:pPr>
          </w:p>
        </w:tc>
        <w:tc>
          <w:tcPr>
            <w:tcW w:w="1609" w:type="dxa"/>
            <w:tcBorders>
              <w:left w:val="single" w:sz="4" w:space="0" w:color="auto"/>
            </w:tcBorders>
            <w:vAlign w:val="center"/>
          </w:tcPr>
          <w:p w:rsidR="001646EC" w:rsidRPr="00404595" w:rsidRDefault="001646EC" w:rsidP="00CD0AE9">
            <w:pPr>
              <w:jc w:val="center"/>
              <w:rPr>
                <w:color w:val="000000"/>
                <w:lang w:bidi="ar-SA"/>
              </w:rPr>
            </w:pPr>
          </w:p>
        </w:tc>
        <w:tc>
          <w:tcPr>
            <w:tcW w:w="1373" w:type="dxa"/>
            <w:vAlign w:val="center"/>
          </w:tcPr>
          <w:p w:rsidR="001646EC" w:rsidRDefault="001646EC" w:rsidP="00CD0AE9">
            <w:pPr>
              <w:jc w:val="center"/>
              <w:rPr>
                <w:sz w:val="20"/>
                <w:szCs w:val="20"/>
              </w:rPr>
            </w:pPr>
            <w:r>
              <w:rPr>
                <w:sz w:val="20"/>
                <w:szCs w:val="20"/>
              </w:rPr>
              <w:t>3</w:t>
            </w:r>
          </w:p>
        </w:tc>
      </w:tr>
      <w:tr w:rsidR="00E26E37" w:rsidRPr="00404595" w:rsidTr="00CD0AE9">
        <w:trPr>
          <w:trHeight w:val="241"/>
        </w:trPr>
        <w:tc>
          <w:tcPr>
            <w:tcW w:w="3047" w:type="dxa"/>
            <w:tcBorders>
              <w:bottom w:val="single" w:sz="4" w:space="0" w:color="000000"/>
            </w:tcBorders>
          </w:tcPr>
          <w:p w:rsidR="00E26E37" w:rsidRPr="00110A58" w:rsidRDefault="00E26E37" w:rsidP="00CD0AE9">
            <w:pPr>
              <w:pStyle w:val="Paragraphedeliste"/>
              <w:tabs>
                <w:tab w:val="left" w:pos="284"/>
              </w:tabs>
              <w:autoSpaceDE w:val="0"/>
              <w:autoSpaceDN w:val="0"/>
              <w:adjustRightInd w:val="0"/>
              <w:jc w:val="center"/>
              <w:rPr>
                <w:rFonts w:ascii="Times New Roman" w:hAnsi="Times New Roman"/>
                <w:b/>
                <w:bCs/>
                <w:color w:val="000000"/>
                <w:sz w:val="24"/>
                <w:szCs w:val="24"/>
                <w:lang w:bidi="ar-SA"/>
              </w:rPr>
            </w:pPr>
            <w:r w:rsidRPr="00110A58">
              <w:rPr>
                <w:rFonts w:ascii="Times New Roman" w:hAnsi="Times New Roman"/>
                <w:b/>
                <w:bCs/>
                <w:color w:val="000000"/>
                <w:sz w:val="24"/>
                <w:szCs w:val="24"/>
                <w:lang w:bidi="ar-SA"/>
              </w:rPr>
              <w:t>Total</w:t>
            </w:r>
          </w:p>
        </w:tc>
        <w:tc>
          <w:tcPr>
            <w:tcW w:w="816" w:type="dxa"/>
            <w:tcBorders>
              <w:bottom w:val="single" w:sz="4" w:space="0" w:color="000000"/>
              <w:right w:val="single" w:sz="4" w:space="0" w:color="auto"/>
            </w:tcBorders>
            <w:vAlign w:val="center"/>
          </w:tcPr>
          <w:p w:rsidR="00E26E37" w:rsidRPr="00110A58" w:rsidRDefault="001646EC" w:rsidP="00CD0AE9">
            <w:pPr>
              <w:jc w:val="center"/>
              <w:rPr>
                <w:b/>
                <w:bCs/>
                <w:sz w:val="20"/>
                <w:szCs w:val="20"/>
              </w:rPr>
            </w:pPr>
            <w:r>
              <w:rPr>
                <w:b/>
                <w:bCs/>
                <w:sz w:val="20"/>
                <w:szCs w:val="20"/>
              </w:rPr>
              <w:t>42</w:t>
            </w:r>
          </w:p>
        </w:tc>
        <w:tc>
          <w:tcPr>
            <w:tcW w:w="1121" w:type="dxa"/>
            <w:tcBorders>
              <w:left w:val="single" w:sz="4" w:space="0" w:color="auto"/>
              <w:bottom w:val="single" w:sz="4" w:space="0" w:color="000000"/>
              <w:right w:val="single" w:sz="4" w:space="0" w:color="auto"/>
            </w:tcBorders>
            <w:vAlign w:val="center"/>
          </w:tcPr>
          <w:p w:rsidR="00E26E37" w:rsidRPr="00110A58" w:rsidRDefault="004403AB" w:rsidP="00CD0AE9">
            <w:pPr>
              <w:jc w:val="center"/>
              <w:rPr>
                <w:b/>
                <w:bCs/>
                <w:sz w:val="20"/>
                <w:szCs w:val="20"/>
              </w:rPr>
            </w:pPr>
            <w:r>
              <w:rPr>
                <w:b/>
                <w:bCs/>
                <w:sz w:val="20"/>
                <w:szCs w:val="20"/>
              </w:rPr>
              <w:t>0</w:t>
            </w:r>
          </w:p>
        </w:tc>
        <w:tc>
          <w:tcPr>
            <w:tcW w:w="1322" w:type="dxa"/>
            <w:tcBorders>
              <w:left w:val="single" w:sz="4" w:space="0" w:color="auto"/>
              <w:bottom w:val="single" w:sz="4" w:space="0" w:color="000000"/>
              <w:right w:val="single" w:sz="4" w:space="0" w:color="auto"/>
            </w:tcBorders>
          </w:tcPr>
          <w:p w:rsidR="00E26E37" w:rsidRPr="00110A58" w:rsidRDefault="00E26E37" w:rsidP="00CD0AE9">
            <w:pPr>
              <w:jc w:val="center"/>
              <w:rPr>
                <w:b/>
                <w:bCs/>
              </w:rPr>
            </w:pPr>
            <w:r w:rsidRPr="00110A58">
              <w:rPr>
                <w:b/>
                <w:bCs/>
              </w:rPr>
              <w:t>0</w:t>
            </w:r>
          </w:p>
        </w:tc>
        <w:tc>
          <w:tcPr>
            <w:tcW w:w="1609" w:type="dxa"/>
            <w:tcBorders>
              <w:left w:val="single" w:sz="4" w:space="0" w:color="auto"/>
              <w:bottom w:val="single" w:sz="4" w:space="0" w:color="000000"/>
            </w:tcBorders>
          </w:tcPr>
          <w:p w:rsidR="00E26E37" w:rsidRPr="00110A58" w:rsidRDefault="00E26E37" w:rsidP="00CD0AE9">
            <w:pPr>
              <w:jc w:val="center"/>
              <w:rPr>
                <w:b/>
                <w:bCs/>
              </w:rPr>
            </w:pPr>
            <w:r w:rsidRPr="00110A58">
              <w:rPr>
                <w:b/>
                <w:bCs/>
              </w:rPr>
              <w:t>0</w:t>
            </w:r>
          </w:p>
        </w:tc>
        <w:tc>
          <w:tcPr>
            <w:tcW w:w="1373" w:type="dxa"/>
            <w:tcBorders>
              <w:bottom w:val="single" w:sz="4" w:space="0" w:color="000000"/>
            </w:tcBorders>
          </w:tcPr>
          <w:p w:rsidR="00E26E37" w:rsidRPr="00110A58" w:rsidRDefault="00C67D66" w:rsidP="00CD0AE9">
            <w:pPr>
              <w:jc w:val="center"/>
              <w:rPr>
                <w:b/>
                <w:bCs/>
              </w:rPr>
            </w:pPr>
            <w:r>
              <w:rPr>
                <w:b/>
                <w:bCs/>
              </w:rPr>
              <w:t>7</w:t>
            </w:r>
          </w:p>
        </w:tc>
      </w:tr>
    </w:tbl>
    <w:p w:rsidR="00E26E37" w:rsidRDefault="00E26E37" w:rsidP="00E26E37">
      <w:pPr>
        <w:autoSpaceDE w:val="0"/>
        <w:autoSpaceDN w:val="0"/>
        <w:adjustRightInd w:val="0"/>
        <w:rPr>
          <w:b/>
          <w:bCs/>
          <w:color w:val="0000FF"/>
          <w:lang w:bidi="ar-SA"/>
        </w:rPr>
      </w:pPr>
    </w:p>
    <w:p w:rsidR="00E26E37" w:rsidRPr="00803DE9" w:rsidRDefault="00E26E37" w:rsidP="00E26E37">
      <w:pPr>
        <w:autoSpaceDE w:val="0"/>
        <w:autoSpaceDN w:val="0"/>
        <w:adjustRightInd w:val="0"/>
        <w:rPr>
          <w:b/>
          <w:bCs/>
          <w:color w:val="0000FF"/>
          <w:lang w:bidi="ar-SA"/>
        </w:rPr>
      </w:pPr>
      <w:r w:rsidRPr="00803DE9">
        <w:rPr>
          <w:b/>
          <w:bCs/>
          <w:color w:val="0000FF"/>
          <w:lang w:bidi="ar-SA"/>
        </w:rPr>
        <w:t xml:space="preserve">3.2- Activités pratiques : </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4"/>
        <w:gridCol w:w="1881"/>
        <w:gridCol w:w="1201"/>
        <w:gridCol w:w="1433"/>
        <w:gridCol w:w="856"/>
        <w:gridCol w:w="910"/>
      </w:tblGrid>
      <w:tr w:rsidR="00E26E37" w:rsidRPr="00404595"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Activités Pratiques de l’UE</w:t>
            </w:r>
          </w:p>
        </w:tc>
        <w:tc>
          <w:tcPr>
            <w:tcW w:w="5371" w:type="dxa"/>
            <w:gridSpan w:val="4"/>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Durée </w:t>
            </w:r>
          </w:p>
        </w:tc>
        <w:tc>
          <w:tcPr>
            <w:tcW w:w="910"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sidRPr="00404595">
              <w:rPr>
                <w:rFonts w:ascii="Times New Roman" w:hAnsi="Times New Roman"/>
                <w:color w:val="000000"/>
                <w:sz w:val="24"/>
                <w:szCs w:val="24"/>
                <w:lang w:bidi="ar-SA"/>
              </w:rPr>
              <w:t>Crédits</w:t>
            </w:r>
          </w:p>
        </w:tc>
      </w:tr>
      <w:tr w:rsidR="00E26E37" w:rsidRPr="00404595"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881"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Travaux sur terrain </w:t>
            </w:r>
          </w:p>
        </w:tc>
        <w:tc>
          <w:tcPr>
            <w:tcW w:w="120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Projet</w:t>
            </w:r>
          </w:p>
        </w:tc>
        <w:tc>
          <w:tcPr>
            <w:tcW w:w="1433"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stage</w:t>
            </w:r>
          </w:p>
        </w:tc>
        <w:tc>
          <w:tcPr>
            <w:tcW w:w="856"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Autres</w:t>
            </w:r>
          </w:p>
        </w:tc>
        <w:tc>
          <w:tcPr>
            <w:tcW w:w="910"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E26E37" w:rsidRPr="000A0628"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hanging="720"/>
              <w:rPr>
                <w:rFonts w:ascii="Times New Roman" w:hAnsi="Times New Roman"/>
                <w:color w:val="000000"/>
                <w:sz w:val="24"/>
                <w:szCs w:val="24"/>
                <w:lang w:bidi="ar-SA"/>
              </w:rPr>
            </w:pPr>
            <w:r>
              <w:rPr>
                <w:rFonts w:ascii="Times New Roman" w:hAnsi="Times New Roman"/>
                <w:color w:val="000000"/>
                <w:sz w:val="24"/>
                <w:szCs w:val="24"/>
                <w:lang w:bidi="ar-SA"/>
              </w:rPr>
              <w:t xml:space="preserve">Projet à réaliser par groupe </w:t>
            </w:r>
          </w:p>
        </w:tc>
        <w:tc>
          <w:tcPr>
            <w:tcW w:w="1881"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201" w:type="dxa"/>
            <w:tcBorders>
              <w:left w:val="single" w:sz="4" w:space="0" w:color="auto"/>
              <w:right w:val="single" w:sz="4" w:space="0" w:color="auto"/>
            </w:tcBorders>
          </w:tcPr>
          <w:p w:rsidR="00E26E37" w:rsidRPr="00404595" w:rsidRDefault="00E52DCA"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Pr>
                <w:rFonts w:ascii="Times New Roman" w:hAnsi="Times New Roman"/>
                <w:color w:val="000000"/>
                <w:sz w:val="24"/>
                <w:szCs w:val="24"/>
                <w:lang w:bidi="ar-SA"/>
              </w:rPr>
              <w:t>x</w:t>
            </w:r>
          </w:p>
        </w:tc>
        <w:tc>
          <w:tcPr>
            <w:tcW w:w="1433"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56"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910"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E26E37" w:rsidRPr="00404595" w:rsidTr="00CD0AE9">
        <w:trPr>
          <w:trHeight w:val="265"/>
        </w:trPr>
        <w:tc>
          <w:tcPr>
            <w:tcW w:w="3254" w:type="dxa"/>
            <w:tcBorders>
              <w:bottom w:val="single" w:sz="4" w:space="0" w:color="000000"/>
            </w:tcBorders>
          </w:tcPr>
          <w:p w:rsidR="00E26E37" w:rsidRPr="00404595" w:rsidRDefault="00E26E37" w:rsidP="00CD0AE9">
            <w:pPr>
              <w:pStyle w:val="Paragraphedeliste"/>
              <w:tabs>
                <w:tab w:val="left" w:pos="284"/>
              </w:tabs>
              <w:autoSpaceDE w:val="0"/>
              <w:autoSpaceDN w:val="0"/>
              <w:adjustRightInd w:val="0"/>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Total </w:t>
            </w:r>
          </w:p>
        </w:tc>
        <w:tc>
          <w:tcPr>
            <w:tcW w:w="1881" w:type="dxa"/>
            <w:tcBorders>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201" w:type="dxa"/>
            <w:tcBorders>
              <w:left w:val="single" w:sz="4" w:space="0" w:color="auto"/>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433" w:type="dxa"/>
            <w:tcBorders>
              <w:left w:val="single" w:sz="4" w:space="0" w:color="auto"/>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56" w:type="dxa"/>
            <w:tcBorders>
              <w:left w:val="single" w:sz="4" w:space="0" w:color="auto"/>
              <w:bottom w:val="single" w:sz="4" w:space="0" w:color="000000"/>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910" w:type="dxa"/>
            <w:tcBorders>
              <w:bottom w:val="single" w:sz="4" w:space="0" w:color="000000"/>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bl>
    <w:p w:rsidR="00E26E37" w:rsidRDefault="00E26E37" w:rsidP="00E26E37">
      <w:pPr>
        <w:autoSpaceDE w:val="0"/>
        <w:autoSpaceDN w:val="0"/>
        <w:adjustRightInd w:val="0"/>
        <w:rPr>
          <w:b/>
          <w:bCs/>
          <w:color w:val="0000FF"/>
          <w:lang w:bidi="ar-SA"/>
        </w:rPr>
      </w:pPr>
    </w:p>
    <w:p w:rsidR="00E26E37" w:rsidRPr="008451B0" w:rsidRDefault="00E26E37" w:rsidP="00E26E37">
      <w:pPr>
        <w:pStyle w:val="Paragraphedeliste"/>
        <w:numPr>
          <w:ilvl w:val="0"/>
          <w:numId w:val="3"/>
        </w:numPr>
        <w:autoSpaceDE w:val="0"/>
        <w:autoSpaceDN w:val="0"/>
        <w:adjustRightInd w:val="0"/>
        <w:spacing w:after="0" w:line="240" w:lineRule="auto"/>
        <w:ind w:left="360"/>
        <w:rPr>
          <w:rFonts w:ascii="Times New Roman" w:hAnsi="Times New Roman"/>
          <w:color w:val="0000FF"/>
          <w:sz w:val="24"/>
          <w:szCs w:val="24"/>
          <w:lang w:bidi="ar-SA"/>
        </w:rPr>
      </w:pPr>
      <w:r w:rsidRPr="008451B0">
        <w:rPr>
          <w:rFonts w:ascii="Times New Roman" w:hAnsi="Times New Roman"/>
          <w:b/>
          <w:bCs/>
          <w:color w:val="0000FF"/>
          <w:sz w:val="24"/>
          <w:szCs w:val="24"/>
          <w:lang w:bidi="ar-SA"/>
        </w:rPr>
        <w:t xml:space="preserve">Contenu </w:t>
      </w:r>
      <w:r w:rsidRPr="008451B0">
        <w:rPr>
          <w:rFonts w:ascii="Times New Roman" w:hAnsi="Times New Roman"/>
          <w:color w:val="0000FF"/>
          <w:sz w:val="24"/>
          <w:szCs w:val="24"/>
          <w:lang w:bidi="ar-SA"/>
        </w:rPr>
        <w:t>(descriptifs et plans des cours)</w:t>
      </w:r>
    </w:p>
    <w:p w:rsidR="00E26E37" w:rsidRPr="008451B0" w:rsidRDefault="00E26E37" w:rsidP="00E26E37">
      <w:pPr>
        <w:pStyle w:val="Paragraphedeliste"/>
        <w:autoSpaceDE w:val="0"/>
        <w:autoSpaceDN w:val="0"/>
        <w:adjustRightInd w:val="0"/>
        <w:spacing w:after="0" w:line="240" w:lineRule="auto"/>
        <w:rPr>
          <w:rFonts w:ascii="Times New Roman" w:hAnsi="Times New Roman"/>
          <w:color w:val="000000"/>
          <w:sz w:val="20"/>
          <w:szCs w:val="20"/>
          <w:lang w:bidi="ar-SA"/>
        </w:rPr>
      </w:pPr>
    </w:p>
    <w:p w:rsidR="00E26E37" w:rsidRDefault="00E26E37" w:rsidP="00E26E37">
      <w:pPr>
        <w:autoSpaceDE w:val="0"/>
        <w:autoSpaceDN w:val="0"/>
        <w:adjustRightInd w:val="0"/>
        <w:rPr>
          <w:rFonts w:eastAsia="Rockwell"/>
          <w:color w:val="000000"/>
          <w:sz w:val="20"/>
          <w:szCs w:val="20"/>
          <w:lang w:bidi="ar-SA"/>
        </w:rPr>
      </w:pPr>
      <w:r>
        <w:rPr>
          <w:color w:val="000000"/>
          <w:sz w:val="20"/>
          <w:szCs w:val="20"/>
          <w:lang w:bidi="ar-SA"/>
        </w:rPr>
        <w:t xml:space="preserve"> </w:t>
      </w:r>
      <w:r>
        <w:rPr>
          <w:rFonts w:eastAsia="Rockwell"/>
          <w:b/>
          <w:bCs/>
          <w:color w:val="810000"/>
          <w:lang w:bidi="ar-SA"/>
        </w:rPr>
        <w:t xml:space="preserve">4.1- Enseignements </w:t>
      </w:r>
      <w:r>
        <w:rPr>
          <w:rFonts w:eastAsia="Rockwell"/>
          <w:color w:val="810000"/>
          <w:lang w:bidi="ar-SA"/>
        </w:rPr>
        <w:t>(Présenter une description succincte des programmes de chaque ECUE et joindre le programme détaillé à la fiche descriptive de l’UE)</w:t>
      </w:r>
    </w:p>
    <w:p w:rsidR="00E26E37" w:rsidRPr="00803DE9" w:rsidRDefault="00E26E37" w:rsidP="00E26E37">
      <w:pPr>
        <w:autoSpaceDE w:val="0"/>
        <w:autoSpaceDN w:val="0"/>
        <w:adjustRightInd w:val="0"/>
        <w:rPr>
          <w:rFonts w:eastAsia="Rockwell"/>
          <w:color w:val="000000"/>
          <w:sz w:val="20"/>
          <w:szCs w:val="20"/>
          <w:lang w:bidi="ar-SA"/>
        </w:rPr>
      </w:pPr>
    </w:p>
    <w:p w:rsidR="00E26E37" w:rsidRDefault="00E26E37" w:rsidP="00123D39">
      <w:pPr>
        <w:pStyle w:val="texteifgp2"/>
        <w:pBdr>
          <w:top w:val="single" w:sz="4" w:space="1" w:color="auto"/>
          <w:left w:val="single" w:sz="4" w:space="4" w:color="auto"/>
          <w:bottom w:val="single" w:sz="4" w:space="1" w:color="auto"/>
          <w:right w:val="single" w:sz="4" w:space="4" w:color="auto"/>
        </w:pBdr>
        <w:spacing w:before="0" w:beforeAutospacing="0" w:after="0" w:afterAutospacing="0"/>
        <w:rPr>
          <w:lang w:val="fr-CA"/>
        </w:rPr>
      </w:pPr>
      <w:r w:rsidRPr="007E3DA7">
        <w:rPr>
          <w:lang w:val="fr-CA"/>
        </w:rPr>
        <w:t> </w:t>
      </w:r>
      <w:r w:rsidR="00123D39">
        <w:rPr>
          <w:lang w:val="fr-CA"/>
        </w:rPr>
        <w:t>D</w:t>
      </w:r>
      <w:r w:rsidR="00176649">
        <w:rPr>
          <w:lang w:val="fr-CA"/>
        </w:rPr>
        <w:t>eux</w:t>
      </w:r>
      <w:r>
        <w:rPr>
          <w:lang w:val="fr-CA"/>
        </w:rPr>
        <w:t xml:space="preserve"> modules à savoir :</w:t>
      </w:r>
    </w:p>
    <w:p w:rsidR="00E26E37" w:rsidRDefault="001646EC" w:rsidP="008532FC">
      <w:pPr>
        <w:pStyle w:val="texteifgp2"/>
        <w:pBdr>
          <w:top w:val="single" w:sz="4" w:space="1" w:color="auto"/>
          <w:left w:val="single" w:sz="4" w:space="4" w:color="auto"/>
          <w:bottom w:val="single" w:sz="4" w:space="1" w:color="auto"/>
          <w:right w:val="single" w:sz="4" w:space="4" w:color="auto"/>
        </w:pBdr>
        <w:spacing w:before="0" w:beforeAutospacing="0" w:after="0" w:afterAutospacing="0"/>
        <w:rPr>
          <w:rFonts w:asciiTheme="majorBidi" w:eastAsia="Calibri" w:hAnsiTheme="majorBidi" w:cstheme="majorBidi"/>
          <w:color w:val="000000"/>
          <w:sz w:val="18"/>
          <w:szCs w:val="18"/>
        </w:rPr>
      </w:pPr>
      <w:r w:rsidRPr="008263CA">
        <w:rPr>
          <w:rFonts w:eastAsia="TimesNewRomanPS-BoldMT"/>
          <w:sz w:val="18"/>
          <w:szCs w:val="18"/>
        </w:rPr>
        <w:t>Marketing international</w:t>
      </w:r>
      <w:r>
        <w:rPr>
          <w:rFonts w:eastAsia="TimesNewRomanPS-BoldMT"/>
          <w:sz w:val="18"/>
          <w:szCs w:val="18"/>
        </w:rPr>
        <w:t xml:space="preserve"> ET </w:t>
      </w:r>
      <w:r w:rsidRPr="008263CA">
        <w:rPr>
          <w:rFonts w:eastAsia="TimesNewRomanPS-BoldMT"/>
          <w:sz w:val="18"/>
          <w:szCs w:val="18"/>
        </w:rPr>
        <w:t>Environnement économique  international</w:t>
      </w:r>
      <w:r>
        <w:rPr>
          <w:rFonts w:eastAsia="TimesNewRomanPS-BoldMT"/>
          <w:sz w:val="18"/>
          <w:szCs w:val="18"/>
        </w:rPr>
        <w:t>.</w:t>
      </w:r>
    </w:p>
    <w:p w:rsidR="004403AB" w:rsidRPr="004403AB" w:rsidRDefault="004403AB" w:rsidP="004403AB">
      <w:pPr>
        <w:pStyle w:val="texteifgp2"/>
        <w:pBdr>
          <w:top w:val="single" w:sz="4" w:space="1" w:color="auto"/>
          <w:left w:val="single" w:sz="4" w:space="4" w:color="auto"/>
          <w:bottom w:val="single" w:sz="4" w:space="1" w:color="auto"/>
          <w:right w:val="single" w:sz="4" w:space="4" w:color="auto"/>
        </w:pBdr>
        <w:spacing w:before="0" w:beforeAutospacing="0" w:after="0" w:afterAutospacing="0"/>
      </w:pPr>
    </w:p>
    <w:p w:rsidR="00E26E37" w:rsidRDefault="00E26E37" w:rsidP="00E26E37">
      <w:pPr>
        <w:autoSpaceDE w:val="0"/>
        <w:autoSpaceDN w:val="0"/>
        <w:adjustRightInd w:val="0"/>
        <w:rPr>
          <w:rFonts w:eastAsia="Rockwell"/>
          <w:color w:val="810000"/>
          <w:lang w:bidi="ar-SA"/>
        </w:rPr>
      </w:pPr>
      <w:r>
        <w:rPr>
          <w:rFonts w:eastAsia="Rockwell"/>
          <w:b/>
          <w:bCs/>
          <w:color w:val="810000"/>
          <w:lang w:bidi="ar-SA"/>
        </w:rPr>
        <w:t xml:space="preserve">4.2- Activités pratiques de l’UE </w:t>
      </w:r>
      <w:r>
        <w:rPr>
          <w:rFonts w:eastAsia="Rockwell"/>
          <w:color w:val="810000"/>
          <w:lang w:bidi="ar-SA"/>
        </w:rPr>
        <w:t>(Présenter une description succincte des objectifs, des contenus et des procédures d’organisation de chaque activité)</w:t>
      </w:r>
    </w:p>
    <w:p w:rsidR="00E26E37" w:rsidRDefault="00E26E37" w:rsidP="00E26E37">
      <w:pPr>
        <w:autoSpaceDE w:val="0"/>
        <w:autoSpaceDN w:val="0"/>
        <w:adjustRightInd w:val="0"/>
        <w:rPr>
          <w:rFonts w:eastAsia="Rockwell"/>
          <w:color w:val="000000"/>
          <w:sz w:val="20"/>
          <w:szCs w:val="20"/>
          <w:lang w:bidi="ar-SA"/>
        </w:rPr>
      </w:pPr>
    </w:p>
    <w:p w:rsidR="00E26E37" w:rsidRPr="000B5171" w:rsidRDefault="00E26E37" w:rsidP="00E52DCA">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Times New Roman" w:hAnsi="Times New Roman"/>
          <w:sz w:val="24"/>
          <w:szCs w:val="24"/>
        </w:rPr>
      </w:pPr>
      <w:r w:rsidRPr="000B5171">
        <w:rPr>
          <w:rFonts w:ascii="Times New Roman" w:eastAsia="Rockwell" w:hAnsi="Times New Roman"/>
          <w:color w:val="000000"/>
          <w:sz w:val="24"/>
          <w:szCs w:val="24"/>
          <w:lang w:bidi="ar-SA"/>
        </w:rPr>
        <w:t xml:space="preserve">Ce cours est basé sur des études de cas </w:t>
      </w:r>
      <w:r w:rsidR="00E52DCA">
        <w:rPr>
          <w:rFonts w:ascii="Times New Roman" w:eastAsia="Rockwell" w:hAnsi="Times New Roman"/>
          <w:color w:val="000000"/>
          <w:sz w:val="24"/>
          <w:szCs w:val="24"/>
          <w:lang w:bidi="ar-SA"/>
        </w:rPr>
        <w:t xml:space="preserve">publiés à l’échelle internationale, mais aussi des témoignages d’experts en marketing international. </w:t>
      </w:r>
    </w:p>
    <w:p w:rsidR="00E26E37" w:rsidRPr="00D36369" w:rsidRDefault="00E26E37" w:rsidP="00E26E37">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Times New Roman" w:eastAsia="Rockwell" w:hAnsi="Times New Roman"/>
          <w:color w:val="0000FF"/>
          <w:sz w:val="24"/>
          <w:szCs w:val="24"/>
          <w:lang w:bidi="ar-SA"/>
        </w:rPr>
      </w:pPr>
    </w:p>
    <w:p w:rsidR="00E26E37" w:rsidRDefault="00E26E37" w:rsidP="00E26E37">
      <w:pPr>
        <w:pStyle w:val="Paragraphedeliste"/>
        <w:numPr>
          <w:ilvl w:val="0"/>
          <w:numId w:val="3"/>
        </w:numPr>
        <w:autoSpaceDE w:val="0"/>
        <w:autoSpaceDN w:val="0"/>
        <w:adjustRightInd w:val="0"/>
        <w:spacing w:after="0" w:line="240" w:lineRule="auto"/>
        <w:ind w:left="284" w:hanging="284"/>
        <w:rPr>
          <w:rFonts w:ascii="Times New Roman" w:eastAsia="Rockwell" w:hAnsi="Times New Roman"/>
          <w:color w:val="0000FF"/>
          <w:sz w:val="24"/>
          <w:szCs w:val="24"/>
          <w:lang w:bidi="ar-SA"/>
        </w:rPr>
      </w:pPr>
      <w:r w:rsidRPr="00803DE9">
        <w:rPr>
          <w:rFonts w:ascii="Times New Roman" w:eastAsia="Rockwell" w:hAnsi="Times New Roman"/>
          <w:b/>
          <w:bCs/>
          <w:color w:val="0000FF"/>
          <w:sz w:val="24"/>
          <w:szCs w:val="24"/>
          <w:lang w:bidi="ar-SA"/>
        </w:rPr>
        <w:t xml:space="preserve">Méthodes pédagogiques et moyens didactiques spécifiques à l’UE </w:t>
      </w:r>
      <w:r w:rsidRPr="00803DE9">
        <w:rPr>
          <w:rFonts w:ascii="Times New Roman" w:eastAsia="Rockwell" w:hAnsi="Times New Roman"/>
          <w:color w:val="0000FF"/>
          <w:sz w:val="24"/>
          <w:szCs w:val="24"/>
          <w:lang w:bidi="ar-SA"/>
        </w:rPr>
        <w:t>(méthodes et outils pédagogiques, ouvrages de référence, recours aux TIC – possibilités d’enseignement à distance…)</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sidRPr="00803DE9">
        <w:rPr>
          <w:lang w:bidi="ar-SA"/>
        </w:rPr>
        <w:t xml:space="preserve">1- </w:t>
      </w:r>
      <w:r>
        <w:rPr>
          <w:lang w:bidi="ar-SA"/>
        </w:rPr>
        <w:t xml:space="preserve">Présentation théorique : Powerpoint </w:t>
      </w:r>
    </w:p>
    <w:p w:rsidR="00E26E37" w:rsidRDefault="00E26E37" w:rsidP="00E52DCA">
      <w:pPr>
        <w:pBdr>
          <w:top w:val="single" w:sz="4" w:space="1" w:color="auto"/>
          <w:left w:val="single" w:sz="4" w:space="4" w:color="auto"/>
          <w:bottom w:val="single" w:sz="4" w:space="1" w:color="auto"/>
          <w:right w:val="single" w:sz="4" w:space="4" w:color="auto"/>
        </w:pBdr>
        <w:autoSpaceDE w:val="0"/>
        <w:autoSpaceDN w:val="0"/>
        <w:adjustRightInd w:val="0"/>
        <w:rPr>
          <w:lang w:bidi="ar-SA"/>
        </w:rPr>
      </w:pPr>
      <w:r w:rsidRPr="00803DE9">
        <w:rPr>
          <w:lang w:bidi="ar-SA"/>
        </w:rPr>
        <w:t xml:space="preserve">2- </w:t>
      </w:r>
      <w:r w:rsidR="00E52DCA">
        <w:rPr>
          <w:lang w:bidi="ar-SA"/>
        </w:rPr>
        <w:t xml:space="preserve">Etudes de cas </w:t>
      </w:r>
    </w:p>
    <w:p w:rsidR="00E52DCA" w:rsidRDefault="00E52DCA" w:rsidP="00E52DCA">
      <w:pPr>
        <w:pBdr>
          <w:top w:val="single" w:sz="4" w:space="1" w:color="auto"/>
          <w:left w:val="single" w:sz="4" w:space="4" w:color="auto"/>
          <w:bottom w:val="single" w:sz="4" w:space="1" w:color="auto"/>
          <w:right w:val="single" w:sz="4" w:space="4" w:color="auto"/>
        </w:pBdr>
        <w:autoSpaceDE w:val="0"/>
        <w:autoSpaceDN w:val="0"/>
        <w:adjustRightInd w:val="0"/>
        <w:rPr>
          <w:lang w:bidi="ar-SA"/>
        </w:rPr>
      </w:pPr>
      <w:r>
        <w:rPr>
          <w:lang w:bidi="ar-SA"/>
        </w:rPr>
        <w:t>3-Projet Cartographie des controverses à l’international</w:t>
      </w:r>
    </w:p>
    <w:p w:rsidR="00E26E37" w:rsidRDefault="00E26E37" w:rsidP="00E26E37">
      <w:pP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0000FF"/>
          <w:lang w:bidi="ar-SA"/>
        </w:rPr>
      </w:pPr>
      <w:r>
        <w:rPr>
          <w:rFonts w:eastAsia="Rockwell"/>
          <w:b/>
          <w:bCs/>
          <w:color w:val="0000FF"/>
          <w:lang w:bidi="ar-SA"/>
        </w:rPr>
        <w:t>6- Examens et évaluation des connaissances</w:t>
      </w: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 xml:space="preserve">6.1- Méthode d’évaluation et régime d’examens </w:t>
      </w:r>
      <w:r>
        <w:rPr>
          <w:rFonts w:eastAsia="Rockwell"/>
          <w:color w:val="810000"/>
          <w:lang w:bidi="ar-SA"/>
        </w:rPr>
        <w:t>(Préciser le régime d’évaluation préconisé : contrôle continu uniquement ou, régime mixte c.à.d. contrôle continue et examens finaux)</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xml:space="preserve">- </w:t>
      </w:r>
      <w:r>
        <w:rPr>
          <w:lang w:bidi="ar-SA"/>
        </w:rPr>
        <w:t xml:space="preserve">Régime Mixte </w:t>
      </w: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810000"/>
          <w:lang w:bidi="ar-SA"/>
        </w:rPr>
      </w:pP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 xml:space="preserve">6.2 - Validation de l’UE </w:t>
      </w:r>
      <w:r>
        <w:rPr>
          <w:rFonts w:eastAsia="Rockwell"/>
          <w:color w:val="810000"/>
          <w:lang w:bidi="ar-SA"/>
        </w:rPr>
        <w:t>(préciser les poids des épreuves d’examens pour le calcul de la moyenne de l’ECUE, les coefficients des ECUE et le coefficient de l’UE au sein du parcours).</w:t>
      </w:r>
    </w:p>
    <w:p w:rsidR="00E26E37" w:rsidRDefault="00E26E37" w:rsidP="00E26E37">
      <w:pPr>
        <w:autoSpaceDE w:val="0"/>
        <w:autoSpaceDN w:val="0"/>
        <w:adjustRightInd w:val="0"/>
        <w:rPr>
          <w:rFonts w:eastAsia="Rockwell"/>
          <w:color w:val="0000FF"/>
          <w:lang w:bidi="ar-SA"/>
        </w:rPr>
      </w:pPr>
    </w:p>
    <w:tbl>
      <w:tblPr>
        <w:tblW w:w="10594" w:type="dxa"/>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7"/>
        <w:gridCol w:w="656"/>
        <w:gridCol w:w="1016"/>
        <w:gridCol w:w="635"/>
        <w:gridCol w:w="1376"/>
        <w:gridCol w:w="776"/>
        <w:gridCol w:w="572"/>
        <w:gridCol w:w="694"/>
        <w:gridCol w:w="1376"/>
        <w:gridCol w:w="861"/>
        <w:gridCol w:w="905"/>
      </w:tblGrid>
      <w:tr w:rsidR="00E26E37" w:rsidRPr="000A0628" w:rsidTr="00E26E37">
        <w:tc>
          <w:tcPr>
            <w:tcW w:w="2150" w:type="dxa"/>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ECE</w:t>
            </w:r>
          </w:p>
        </w:tc>
        <w:tc>
          <w:tcPr>
            <w:tcW w:w="3260" w:type="dxa"/>
            <w:gridSpan w:val="4"/>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Contrôle Continu  </w:t>
            </w:r>
          </w:p>
        </w:tc>
        <w:tc>
          <w:tcPr>
            <w:tcW w:w="3418" w:type="dxa"/>
            <w:gridSpan w:val="4"/>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Examen final </w:t>
            </w:r>
          </w:p>
        </w:tc>
        <w:tc>
          <w:tcPr>
            <w:tcW w:w="861"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Coef</w:t>
            </w:r>
            <w:proofErr w:type="spellEnd"/>
            <w:r w:rsidRPr="00404595">
              <w:rPr>
                <w:rFonts w:eastAsia="Rockwell"/>
                <w:sz w:val="20"/>
                <w:szCs w:val="20"/>
                <w:lang w:bidi="ar-SA"/>
              </w:rPr>
              <w:t xml:space="preserve"> de l’ECUE</w:t>
            </w:r>
          </w:p>
        </w:tc>
        <w:tc>
          <w:tcPr>
            <w:tcW w:w="905" w:type="dxa"/>
            <w:tcBorders>
              <w:lef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Coef</w:t>
            </w:r>
            <w:proofErr w:type="spellEnd"/>
            <w:r w:rsidRPr="00404595">
              <w:rPr>
                <w:rFonts w:eastAsia="Rockwell"/>
                <w:sz w:val="20"/>
                <w:szCs w:val="20"/>
                <w:lang w:bidi="ar-SA"/>
              </w:rPr>
              <w:t xml:space="preserve"> de l’UE au sein du parcours</w:t>
            </w:r>
          </w:p>
        </w:tc>
      </w:tr>
      <w:tr w:rsidR="008532FC" w:rsidRPr="00404595" w:rsidTr="00E26E37">
        <w:tc>
          <w:tcPr>
            <w:tcW w:w="2150" w:type="dxa"/>
          </w:tcPr>
          <w:p w:rsidR="008532FC" w:rsidRPr="00404595" w:rsidRDefault="008532FC" w:rsidP="00CD0AE9">
            <w:pPr>
              <w:autoSpaceDE w:val="0"/>
              <w:autoSpaceDN w:val="0"/>
              <w:adjustRightInd w:val="0"/>
              <w:rPr>
                <w:rFonts w:eastAsia="Rockwell"/>
                <w:lang w:bidi="ar-SA"/>
              </w:rPr>
            </w:pPr>
          </w:p>
        </w:tc>
        <w:tc>
          <w:tcPr>
            <w:tcW w:w="1884" w:type="dxa"/>
            <w:gridSpan w:val="3"/>
            <w:tcBorders>
              <w:right w:val="single" w:sz="4" w:space="0" w:color="auto"/>
            </w:tcBorders>
          </w:tcPr>
          <w:p w:rsidR="008532FC" w:rsidRPr="00404595" w:rsidRDefault="008532FC" w:rsidP="00CD0AE9">
            <w:pPr>
              <w:autoSpaceDE w:val="0"/>
              <w:autoSpaceDN w:val="0"/>
              <w:adjustRightInd w:val="0"/>
              <w:rPr>
                <w:rFonts w:eastAsia="Rockwell"/>
                <w:lang w:bidi="ar-SA"/>
              </w:rPr>
            </w:pPr>
            <w:r w:rsidRPr="00404595">
              <w:rPr>
                <w:rFonts w:eastAsia="Rockwell"/>
                <w:lang w:bidi="ar-SA"/>
              </w:rPr>
              <w:t>Epreuves</w:t>
            </w:r>
          </w:p>
        </w:tc>
        <w:tc>
          <w:tcPr>
            <w:tcW w:w="1376" w:type="dxa"/>
            <w:tcBorders>
              <w:left w:val="single" w:sz="4" w:space="0" w:color="auto"/>
            </w:tcBorders>
          </w:tcPr>
          <w:p w:rsidR="008532FC" w:rsidRPr="00404595" w:rsidRDefault="008532FC" w:rsidP="00CD0AE9">
            <w:pPr>
              <w:autoSpaceDE w:val="0"/>
              <w:autoSpaceDN w:val="0"/>
              <w:adjustRightInd w:val="0"/>
              <w:rPr>
                <w:rFonts w:eastAsia="Rockwell"/>
                <w:lang w:bidi="ar-SA"/>
              </w:rPr>
            </w:pPr>
            <w:r w:rsidRPr="00404595">
              <w:rPr>
                <w:rFonts w:eastAsia="Rockwell"/>
                <w:lang w:bidi="ar-SA"/>
              </w:rPr>
              <w:t>Pondération</w:t>
            </w:r>
          </w:p>
        </w:tc>
        <w:tc>
          <w:tcPr>
            <w:tcW w:w="2042" w:type="dxa"/>
            <w:gridSpan w:val="3"/>
            <w:tcBorders>
              <w:right w:val="single" w:sz="4" w:space="0" w:color="auto"/>
            </w:tcBorders>
          </w:tcPr>
          <w:p w:rsidR="008532FC" w:rsidRPr="00404595" w:rsidRDefault="008532FC" w:rsidP="00CD0AE9">
            <w:pPr>
              <w:autoSpaceDE w:val="0"/>
              <w:autoSpaceDN w:val="0"/>
              <w:adjustRightInd w:val="0"/>
              <w:rPr>
                <w:rFonts w:eastAsia="Rockwell"/>
                <w:lang w:bidi="ar-SA"/>
              </w:rPr>
            </w:pPr>
            <w:r w:rsidRPr="00404595">
              <w:rPr>
                <w:rFonts w:eastAsia="Rockwell"/>
                <w:lang w:bidi="ar-SA"/>
              </w:rPr>
              <w:t>Epreuves</w:t>
            </w:r>
          </w:p>
        </w:tc>
        <w:tc>
          <w:tcPr>
            <w:tcW w:w="1376" w:type="dxa"/>
            <w:tcBorders>
              <w:left w:val="single" w:sz="4" w:space="0" w:color="auto"/>
              <w:right w:val="single" w:sz="4" w:space="0" w:color="auto"/>
            </w:tcBorders>
          </w:tcPr>
          <w:p w:rsidR="008532FC" w:rsidRPr="00404595" w:rsidRDefault="008532FC" w:rsidP="00CD0AE9">
            <w:pPr>
              <w:autoSpaceDE w:val="0"/>
              <w:autoSpaceDN w:val="0"/>
              <w:adjustRightInd w:val="0"/>
              <w:rPr>
                <w:rFonts w:eastAsia="Rockwell"/>
                <w:lang w:bidi="ar-SA"/>
              </w:rPr>
            </w:pPr>
            <w:r w:rsidRPr="00404595">
              <w:rPr>
                <w:rFonts w:eastAsia="Rockwell"/>
                <w:lang w:bidi="ar-SA"/>
              </w:rPr>
              <w:t>Pondération</w:t>
            </w:r>
          </w:p>
        </w:tc>
        <w:tc>
          <w:tcPr>
            <w:tcW w:w="861" w:type="dxa"/>
            <w:tcBorders>
              <w:left w:val="single" w:sz="4" w:space="0" w:color="auto"/>
              <w:right w:val="single" w:sz="4" w:space="0" w:color="auto"/>
            </w:tcBorders>
          </w:tcPr>
          <w:p w:rsidR="008532FC" w:rsidRPr="00404595" w:rsidRDefault="008532FC" w:rsidP="00CD0AE9">
            <w:pPr>
              <w:autoSpaceDE w:val="0"/>
              <w:autoSpaceDN w:val="0"/>
              <w:adjustRightInd w:val="0"/>
              <w:rPr>
                <w:rFonts w:eastAsia="Rockwell"/>
                <w:lang w:bidi="ar-SA"/>
              </w:rPr>
            </w:pPr>
          </w:p>
        </w:tc>
        <w:tc>
          <w:tcPr>
            <w:tcW w:w="905" w:type="dxa"/>
            <w:vMerge w:val="restart"/>
            <w:tcBorders>
              <w:left w:val="single" w:sz="4" w:space="0" w:color="auto"/>
            </w:tcBorders>
            <w:vAlign w:val="center"/>
          </w:tcPr>
          <w:p w:rsidR="008532FC" w:rsidRPr="00404595" w:rsidRDefault="001646EC" w:rsidP="00CD0AE9">
            <w:pPr>
              <w:autoSpaceDE w:val="0"/>
              <w:autoSpaceDN w:val="0"/>
              <w:adjustRightInd w:val="0"/>
              <w:jc w:val="center"/>
              <w:rPr>
                <w:rFonts w:eastAsia="Rockwell"/>
                <w:lang w:bidi="ar-SA"/>
              </w:rPr>
            </w:pPr>
            <w:r>
              <w:rPr>
                <w:rFonts w:eastAsia="Rockwell"/>
                <w:lang w:bidi="ar-SA"/>
              </w:rPr>
              <w:t>6</w:t>
            </w:r>
          </w:p>
        </w:tc>
      </w:tr>
      <w:tr w:rsidR="008532FC" w:rsidRPr="00404595" w:rsidTr="00E26E37">
        <w:tc>
          <w:tcPr>
            <w:tcW w:w="2150" w:type="dxa"/>
          </w:tcPr>
          <w:p w:rsidR="008532FC" w:rsidRPr="00404595" w:rsidRDefault="008532FC" w:rsidP="00CD0AE9">
            <w:pPr>
              <w:autoSpaceDE w:val="0"/>
              <w:autoSpaceDN w:val="0"/>
              <w:adjustRightInd w:val="0"/>
              <w:rPr>
                <w:rFonts w:eastAsia="Rockwell"/>
                <w:color w:val="0000FF"/>
                <w:lang w:bidi="ar-SA"/>
              </w:rPr>
            </w:pPr>
          </w:p>
        </w:tc>
        <w:tc>
          <w:tcPr>
            <w:tcW w:w="656" w:type="dxa"/>
            <w:tcBorders>
              <w:right w:val="single" w:sz="4" w:space="0" w:color="auto"/>
            </w:tcBorders>
          </w:tcPr>
          <w:p w:rsidR="008532FC" w:rsidRPr="00404595" w:rsidRDefault="008532FC" w:rsidP="00CD0AE9">
            <w:pPr>
              <w:autoSpaceDE w:val="0"/>
              <w:autoSpaceDN w:val="0"/>
              <w:adjustRightInd w:val="0"/>
              <w:rPr>
                <w:rFonts w:eastAsia="Rockwell"/>
                <w:sz w:val="20"/>
                <w:szCs w:val="20"/>
                <w:lang w:bidi="ar-SA"/>
              </w:rPr>
            </w:pPr>
            <w:r w:rsidRPr="00404595">
              <w:rPr>
                <w:rFonts w:eastAsia="Rockwell"/>
                <w:sz w:val="20"/>
                <w:szCs w:val="20"/>
                <w:lang w:bidi="ar-SA"/>
              </w:rPr>
              <w:t xml:space="preserve">Ecrit </w:t>
            </w:r>
          </w:p>
        </w:tc>
        <w:tc>
          <w:tcPr>
            <w:tcW w:w="572" w:type="dxa"/>
            <w:tcBorders>
              <w:left w:val="single" w:sz="4" w:space="0" w:color="auto"/>
              <w:right w:val="single" w:sz="4" w:space="0" w:color="auto"/>
            </w:tcBorders>
          </w:tcPr>
          <w:p w:rsidR="008532FC" w:rsidRPr="00404595" w:rsidRDefault="008532FC" w:rsidP="00CD0AE9">
            <w:pPr>
              <w:autoSpaceDE w:val="0"/>
              <w:autoSpaceDN w:val="0"/>
              <w:adjustRightInd w:val="0"/>
              <w:rPr>
                <w:rFonts w:eastAsia="Rockwell"/>
                <w:sz w:val="20"/>
                <w:szCs w:val="20"/>
                <w:lang w:bidi="ar-SA"/>
              </w:rPr>
            </w:pPr>
            <w:r w:rsidRPr="00404595">
              <w:rPr>
                <w:rFonts w:eastAsia="Rockwell"/>
                <w:sz w:val="20"/>
                <w:szCs w:val="20"/>
                <w:lang w:bidi="ar-SA"/>
              </w:rPr>
              <w:t xml:space="preserve">Oral </w:t>
            </w:r>
          </w:p>
        </w:tc>
        <w:tc>
          <w:tcPr>
            <w:tcW w:w="656" w:type="dxa"/>
            <w:tcBorders>
              <w:left w:val="single" w:sz="4" w:space="0" w:color="auto"/>
              <w:right w:val="single" w:sz="4" w:space="0" w:color="auto"/>
            </w:tcBorders>
          </w:tcPr>
          <w:p w:rsidR="008532FC" w:rsidRPr="00404595" w:rsidRDefault="008532FC" w:rsidP="00CD0AE9">
            <w:pPr>
              <w:autoSpaceDE w:val="0"/>
              <w:autoSpaceDN w:val="0"/>
              <w:adjustRightInd w:val="0"/>
              <w:rPr>
                <w:rFonts w:eastAsia="Rockwell"/>
                <w:sz w:val="20"/>
                <w:szCs w:val="20"/>
                <w:lang w:bidi="ar-SA"/>
              </w:rPr>
            </w:pPr>
            <w:r w:rsidRPr="00404595">
              <w:rPr>
                <w:rFonts w:eastAsia="Rockwell"/>
                <w:sz w:val="20"/>
                <w:szCs w:val="20"/>
                <w:lang w:bidi="ar-SA"/>
              </w:rPr>
              <w:t>TP et autre</w:t>
            </w:r>
          </w:p>
        </w:tc>
        <w:tc>
          <w:tcPr>
            <w:tcW w:w="1376" w:type="dxa"/>
            <w:tcBorders>
              <w:left w:val="single" w:sz="4" w:space="0" w:color="auto"/>
            </w:tcBorders>
          </w:tcPr>
          <w:p w:rsidR="008532FC" w:rsidRPr="00404595" w:rsidRDefault="008532FC" w:rsidP="00CD0AE9">
            <w:pPr>
              <w:autoSpaceDE w:val="0"/>
              <w:autoSpaceDN w:val="0"/>
              <w:adjustRightInd w:val="0"/>
              <w:rPr>
                <w:rFonts w:eastAsia="Rockwell"/>
                <w:sz w:val="20"/>
                <w:szCs w:val="20"/>
                <w:lang w:bidi="ar-SA"/>
              </w:rPr>
            </w:pPr>
          </w:p>
        </w:tc>
        <w:tc>
          <w:tcPr>
            <w:tcW w:w="776" w:type="dxa"/>
            <w:tcBorders>
              <w:right w:val="single" w:sz="4" w:space="0" w:color="auto"/>
            </w:tcBorders>
          </w:tcPr>
          <w:p w:rsidR="008532FC" w:rsidRPr="00404595" w:rsidRDefault="008532FC" w:rsidP="00CD0AE9">
            <w:pPr>
              <w:autoSpaceDE w:val="0"/>
              <w:autoSpaceDN w:val="0"/>
              <w:adjustRightInd w:val="0"/>
              <w:rPr>
                <w:rFonts w:eastAsia="Rockwell"/>
                <w:sz w:val="20"/>
                <w:szCs w:val="20"/>
                <w:lang w:bidi="ar-SA"/>
              </w:rPr>
            </w:pPr>
            <w:r w:rsidRPr="00404595">
              <w:rPr>
                <w:rFonts w:eastAsia="Rockwell"/>
                <w:sz w:val="20"/>
                <w:szCs w:val="20"/>
                <w:lang w:bidi="ar-SA"/>
              </w:rPr>
              <w:t xml:space="preserve">Ecrit </w:t>
            </w:r>
          </w:p>
        </w:tc>
        <w:tc>
          <w:tcPr>
            <w:tcW w:w="572" w:type="dxa"/>
            <w:tcBorders>
              <w:right w:val="single" w:sz="4" w:space="0" w:color="auto"/>
            </w:tcBorders>
          </w:tcPr>
          <w:p w:rsidR="008532FC" w:rsidRPr="00404595" w:rsidRDefault="008532FC" w:rsidP="00CD0AE9">
            <w:pPr>
              <w:autoSpaceDE w:val="0"/>
              <w:autoSpaceDN w:val="0"/>
              <w:adjustRightInd w:val="0"/>
              <w:rPr>
                <w:rFonts w:eastAsia="Rockwell"/>
                <w:sz w:val="20"/>
                <w:szCs w:val="20"/>
                <w:lang w:bidi="ar-SA"/>
              </w:rPr>
            </w:pPr>
            <w:r w:rsidRPr="00404595">
              <w:rPr>
                <w:rFonts w:eastAsia="Rockwell"/>
                <w:sz w:val="20"/>
                <w:szCs w:val="20"/>
                <w:lang w:bidi="ar-SA"/>
              </w:rPr>
              <w:t>Oral</w:t>
            </w:r>
          </w:p>
        </w:tc>
        <w:tc>
          <w:tcPr>
            <w:tcW w:w="694" w:type="dxa"/>
            <w:tcBorders>
              <w:right w:val="single" w:sz="4" w:space="0" w:color="auto"/>
            </w:tcBorders>
          </w:tcPr>
          <w:p w:rsidR="008532FC" w:rsidRPr="00404595" w:rsidRDefault="008532FC"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Tp</w:t>
            </w:r>
            <w:proofErr w:type="spellEnd"/>
            <w:r w:rsidRPr="00404595">
              <w:rPr>
                <w:rFonts w:eastAsia="Rockwell"/>
                <w:sz w:val="20"/>
                <w:szCs w:val="20"/>
                <w:lang w:bidi="ar-SA"/>
              </w:rPr>
              <w:t xml:space="preserve"> et autres</w:t>
            </w:r>
          </w:p>
        </w:tc>
        <w:tc>
          <w:tcPr>
            <w:tcW w:w="1376" w:type="dxa"/>
            <w:tcBorders>
              <w:left w:val="single" w:sz="4" w:space="0" w:color="auto"/>
              <w:right w:val="single" w:sz="4" w:space="0" w:color="auto"/>
            </w:tcBorders>
          </w:tcPr>
          <w:p w:rsidR="008532FC" w:rsidRPr="00404595" w:rsidRDefault="008532FC" w:rsidP="00CD0AE9">
            <w:pPr>
              <w:autoSpaceDE w:val="0"/>
              <w:autoSpaceDN w:val="0"/>
              <w:adjustRightInd w:val="0"/>
              <w:rPr>
                <w:rFonts w:eastAsia="Rockwell"/>
                <w:color w:val="0000FF"/>
                <w:lang w:bidi="ar-SA"/>
              </w:rPr>
            </w:pPr>
          </w:p>
        </w:tc>
        <w:tc>
          <w:tcPr>
            <w:tcW w:w="861" w:type="dxa"/>
            <w:tcBorders>
              <w:left w:val="single" w:sz="4" w:space="0" w:color="auto"/>
              <w:right w:val="single" w:sz="4" w:space="0" w:color="auto"/>
            </w:tcBorders>
          </w:tcPr>
          <w:p w:rsidR="008532FC" w:rsidRPr="00404595" w:rsidRDefault="008532FC" w:rsidP="00CD0AE9">
            <w:pPr>
              <w:autoSpaceDE w:val="0"/>
              <w:autoSpaceDN w:val="0"/>
              <w:adjustRightInd w:val="0"/>
              <w:rPr>
                <w:rFonts w:eastAsia="Rockwell"/>
                <w:color w:val="0000FF"/>
                <w:lang w:bidi="ar-SA"/>
              </w:rPr>
            </w:pPr>
          </w:p>
        </w:tc>
        <w:tc>
          <w:tcPr>
            <w:tcW w:w="905" w:type="dxa"/>
            <w:vMerge/>
            <w:tcBorders>
              <w:left w:val="single" w:sz="4" w:space="0" w:color="auto"/>
            </w:tcBorders>
          </w:tcPr>
          <w:p w:rsidR="008532FC" w:rsidRPr="00404595" w:rsidRDefault="008532FC" w:rsidP="00CD0AE9">
            <w:pPr>
              <w:autoSpaceDE w:val="0"/>
              <w:autoSpaceDN w:val="0"/>
              <w:adjustRightInd w:val="0"/>
              <w:rPr>
                <w:rFonts w:eastAsia="Rockwell"/>
                <w:color w:val="0000FF"/>
                <w:lang w:bidi="ar-SA"/>
              </w:rPr>
            </w:pPr>
          </w:p>
        </w:tc>
      </w:tr>
      <w:tr w:rsidR="001646EC" w:rsidRPr="00404595" w:rsidTr="00C05351">
        <w:trPr>
          <w:trHeight w:val="835"/>
        </w:trPr>
        <w:tc>
          <w:tcPr>
            <w:tcW w:w="2150" w:type="dxa"/>
            <w:vAlign w:val="center"/>
          </w:tcPr>
          <w:p w:rsidR="001646EC" w:rsidRPr="008263CA" w:rsidRDefault="001646EC" w:rsidP="00CD0AE9">
            <w:pPr>
              <w:pStyle w:val="Contenudetableau"/>
              <w:snapToGrid w:val="0"/>
              <w:jc w:val="center"/>
              <w:rPr>
                <w:rFonts w:eastAsia="TimesNewRomanPS-BoldMT" w:cs="Times New Roman"/>
                <w:sz w:val="18"/>
                <w:szCs w:val="18"/>
              </w:rPr>
            </w:pPr>
            <w:r w:rsidRPr="008263CA">
              <w:rPr>
                <w:rFonts w:eastAsia="TimesNewRomanPS-BoldMT" w:cs="Times New Roman"/>
                <w:sz w:val="18"/>
                <w:szCs w:val="18"/>
              </w:rPr>
              <w:t>Marketing international</w:t>
            </w:r>
          </w:p>
        </w:tc>
        <w:tc>
          <w:tcPr>
            <w:tcW w:w="656" w:type="dxa"/>
            <w:tcBorders>
              <w:right w:val="single" w:sz="4" w:space="0" w:color="auto"/>
            </w:tcBorders>
            <w:vAlign w:val="center"/>
          </w:tcPr>
          <w:p w:rsidR="001646EC" w:rsidRPr="00511E67" w:rsidRDefault="001646EC" w:rsidP="00CD0AE9">
            <w:pPr>
              <w:autoSpaceDE w:val="0"/>
              <w:autoSpaceDN w:val="0"/>
              <w:adjustRightInd w:val="0"/>
              <w:jc w:val="center"/>
              <w:rPr>
                <w:rFonts w:eastAsia="Rockwell"/>
                <w:lang w:bidi="ar-SA"/>
              </w:rPr>
            </w:pPr>
            <w:r w:rsidRPr="00511E67">
              <w:rPr>
                <w:rFonts w:eastAsia="Rockwell"/>
                <w:lang w:bidi="ar-SA"/>
              </w:rPr>
              <w:t>70%</w:t>
            </w:r>
          </w:p>
        </w:tc>
        <w:tc>
          <w:tcPr>
            <w:tcW w:w="572" w:type="dxa"/>
            <w:tcBorders>
              <w:left w:val="single" w:sz="4" w:space="0" w:color="auto"/>
              <w:right w:val="single" w:sz="4" w:space="0" w:color="auto"/>
            </w:tcBorders>
            <w:vAlign w:val="center"/>
          </w:tcPr>
          <w:p w:rsidR="001646EC" w:rsidRDefault="00E52DCA" w:rsidP="00CD0AE9">
            <w:pPr>
              <w:autoSpaceDE w:val="0"/>
              <w:autoSpaceDN w:val="0"/>
              <w:adjustRightInd w:val="0"/>
              <w:jc w:val="center"/>
              <w:rPr>
                <w:rFonts w:eastAsia="Rockwell"/>
                <w:lang w:bidi="ar-SA"/>
              </w:rPr>
            </w:pPr>
            <w:r w:rsidRPr="00511E67">
              <w:rPr>
                <w:rFonts w:eastAsia="Rockwell"/>
                <w:lang w:bidi="ar-SA"/>
              </w:rPr>
              <w:t>30%</w:t>
            </w:r>
          </w:p>
          <w:p w:rsidR="00E52DCA" w:rsidRPr="00511E67" w:rsidRDefault="00E52DCA" w:rsidP="00CD0AE9">
            <w:pPr>
              <w:autoSpaceDE w:val="0"/>
              <w:autoSpaceDN w:val="0"/>
              <w:adjustRightInd w:val="0"/>
              <w:jc w:val="center"/>
              <w:rPr>
                <w:rFonts w:eastAsia="Rockwell"/>
                <w:lang w:bidi="ar-SA"/>
              </w:rPr>
            </w:pPr>
            <w:r>
              <w:rPr>
                <w:rFonts w:eastAsia="Rockwell"/>
                <w:lang w:bidi="ar-SA"/>
              </w:rPr>
              <w:t>Exposés</w:t>
            </w:r>
          </w:p>
        </w:tc>
        <w:tc>
          <w:tcPr>
            <w:tcW w:w="656" w:type="dxa"/>
            <w:tcBorders>
              <w:left w:val="single" w:sz="4" w:space="0" w:color="auto"/>
              <w:right w:val="single" w:sz="4" w:space="0" w:color="auto"/>
            </w:tcBorders>
            <w:vAlign w:val="center"/>
          </w:tcPr>
          <w:p w:rsidR="001646EC" w:rsidRPr="00511E67" w:rsidRDefault="001646EC" w:rsidP="00CD0AE9">
            <w:pPr>
              <w:autoSpaceDE w:val="0"/>
              <w:autoSpaceDN w:val="0"/>
              <w:adjustRightInd w:val="0"/>
              <w:jc w:val="center"/>
              <w:rPr>
                <w:rFonts w:eastAsia="Rockwell"/>
                <w:lang w:bidi="ar-SA"/>
              </w:rPr>
            </w:pPr>
          </w:p>
        </w:tc>
        <w:tc>
          <w:tcPr>
            <w:tcW w:w="1376" w:type="dxa"/>
            <w:tcBorders>
              <w:left w:val="single" w:sz="4" w:space="0" w:color="auto"/>
            </w:tcBorders>
            <w:vAlign w:val="center"/>
          </w:tcPr>
          <w:p w:rsidR="001646EC" w:rsidRPr="00511E67" w:rsidRDefault="001646EC" w:rsidP="00CD0AE9">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1646EC" w:rsidRPr="00511E67" w:rsidRDefault="001646EC" w:rsidP="00CD0AE9">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1646EC" w:rsidRPr="00511E67" w:rsidRDefault="001646EC" w:rsidP="00CD0AE9">
            <w:pPr>
              <w:autoSpaceDE w:val="0"/>
              <w:autoSpaceDN w:val="0"/>
              <w:adjustRightInd w:val="0"/>
              <w:jc w:val="center"/>
              <w:rPr>
                <w:rFonts w:eastAsia="Rockwell"/>
                <w:lang w:bidi="ar-SA"/>
              </w:rPr>
            </w:pPr>
          </w:p>
        </w:tc>
        <w:tc>
          <w:tcPr>
            <w:tcW w:w="694" w:type="dxa"/>
            <w:tcBorders>
              <w:right w:val="single" w:sz="4" w:space="0" w:color="auto"/>
            </w:tcBorders>
            <w:vAlign w:val="center"/>
          </w:tcPr>
          <w:p w:rsidR="001646EC" w:rsidRPr="00511E67" w:rsidRDefault="001646EC" w:rsidP="00CD0AE9">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1646EC" w:rsidRPr="00511E67" w:rsidRDefault="001646EC" w:rsidP="00CD0AE9">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1646EC" w:rsidRPr="00511E67" w:rsidRDefault="001646EC" w:rsidP="00CD0AE9">
            <w:pPr>
              <w:autoSpaceDE w:val="0"/>
              <w:autoSpaceDN w:val="0"/>
              <w:adjustRightInd w:val="0"/>
              <w:jc w:val="center"/>
              <w:rPr>
                <w:rFonts w:eastAsia="Rockwell"/>
                <w:lang w:bidi="ar-SA"/>
              </w:rPr>
            </w:pPr>
            <w:r>
              <w:rPr>
                <w:rFonts w:eastAsia="Rockwell"/>
                <w:lang w:bidi="ar-SA"/>
              </w:rPr>
              <w:t>3</w:t>
            </w:r>
          </w:p>
        </w:tc>
        <w:tc>
          <w:tcPr>
            <w:tcW w:w="905" w:type="dxa"/>
            <w:vMerge/>
            <w:tcBorders>
              <w:left w:val="single" w:sz="4" w:space="0" w:color="auto"/>
            </w:tcBorders>
          </w:tcPr>
          <w:p w:rsidR="001646EC" w:rsidRPr="00404595" w:rsidRDefault="001646EC" w:rsidP="00CD0AE9">
            <w:pPr>
              <w:autoSpaceDE w:val="0"/>
              <w:autoSpaceDN w:val="0"/>
              <w:adjustRightInd w:val="0"/>
              <w:rPr>
                <w:rFonts w:eastAsia="Rockwell"/>
                <w:color w:val="0000FF"/>
                <w:lang w:bidi="ar-SA"/>
              </w:rPr>
            </w:pPr>
          </w:p>
        </w:tc>
      </w:tr>
      <w:tr w:rsidR="001646EC" w:rsidRPr="00404595" w:rsidTr="00C05351">
        <w:trPr>
          <w:trHeight w:val="835"/>
        </w:trPr>
        <w:tc>
          <w:tcPr>
            <w:tcW w:w="2150" w:type="dxa"/>
            <w:vAlign w:val="center"/>
          </w:tcPr>
          <w:p w:rsidR="001646EC" w:rsidRPr="008263CA" w:rsidRDefault="001646EC" w:rsidP="00CD0AE9">
            <w:pPr>
              <w:pStyle w:val="Contenudetableau"/>
              <w:snapToGrid w:val="0"/>
              <w:jc w:val="center"/>
              <w:rPr>
                <w:rFonts w:eastAsia="TimesNewRomanPS-BoldMT" w:cs="Times New Roman"/>
                <w:sz w:val="18"/>
                <w:szCs w:val="18"/>
              </w:rPr>
            </w:pPr>
            <w:r w:rsidRPr="008263CA">
              <w:rPr>
                <w:rFonts w:eastAsia="TimesNewRomanPS-BoldMT" w:cs="Times New Roman"/>
                <w:sz w:val="18"/>
                <w:szCs w:val="18"/>
              </w:rPr>
              <w:t>Environnement économique  international</w:t>
            </w:r>
          </w:p>
        </w:tc>
        <w:tc>
          <w:tcPr>
            <w:tcW w:w="656" w:type="dxa"/>
            <w:tcBorders>
              <w:right w:val="single" w:sz="4" w:space="0" w:color="auto"/>
            </w:tcBorders>
            <w:vAlign w:val="center"/>
          </w:tcPr>
          <w:p w:rsidR="001646EC" w:rsidRPr="00511E67" w:rsidRDefault="001646EC" w:rsidP="00CD0AE9">
            <w:pPr>
              <w:autoSpaceDE w:val="0"/>
              <w:autoSpaceDN w:val="0"/>
              <w:adjustRightInd w:val="0"/>
              <w:jc w:val="center"/>
              <w:rPr>
                <w:rFonts w:eastAsia="Rockwell"/>
                <w:lang w:bidi="ar-SA"/>
              </w:rPr>
            </w:pPr>
            <w:r w:rsidRPr="00511E67">
              <w:rPr>
                <w:rFonts w:eastAsia="Rockwell"/>
                <w:lang w:bidi="ar-SA"/>
              </w:rPr>
              <w:t>70%</w:t>
            </w:r>
          </w:p>
        </w:tc>
        <w:tc>
          <w:tcPr>
            <w:tcW w:w="572" w:type="dxa"/>
            <w:tcBorders>
              <w:left w:val="single" w:sz="4" w:space="0" w:color="auto"/>
              <w:right w:val="single" w:sz="4" w:space="0" w:color="auto"/>
            </w:tcBorders>
            <w:vAlign w:val="center"/>
          </w:tcPr>
          <w:p w:rsidR="001646EC" w:rsidRDefault="00E52DCA" w:rsidP="00CD0AE9">
            <w:pPr>
              <w:autoSpaceDE w:val="0"/>
              <w:autoSpaceDN w:val="0"/>
              <w:adjustRightInd w:val="0"/>
              <w:jc w:val="center"/>
              <w:rPr>
                <w:rFonts w:eastAsia="Rockwell"/>
                <w:lang w:bidi="ar-SA"/>
              </w:rPr>
            </w:pPr>
            <w:r w:rsidRPr="00511E67">
              <w:rPr>
                <w:rFonts w:eastAsia="Rockwell"/>
                <w:lang w:bidi="ar-SA"/>
              </w:rPr>
              <w:t>30%</w:t>
            </w:r>
          </w:p>
          <w:p w:rsidR="00E52DCA" w:rsidRPr="00511E67" w:rsidRDefault="00E52DCA" w:rsidP="00CD0AE9">
            <w:pPr>
              <w:autoSpaceDE w:val="0"/>
              <w:autoSpaceDN w:val="0"/>
              <w:adjustRightInd w:val="0"/>
              <w:jc w:val="center"/>
              <w:rPr>
                <w:rFonts w:eastAsia="Rockwell"/>
                <w:lang w:bidi="ar-SA"/>
              </w:rPr>
            </w:pPr>
            <w:r>
              <w:rPr>
                <w:rFonts w:eastAsia="Rockwell"/>
                <w:lang w:bidi="ar-SA"/>
              </w:rPr>
              <w:t>exposés</w:t>
            </w:r>
          </w:p>
        </w:tc>
        <w:tc>
          <w:tcPr>
            <w:tcW w:w="656" w:type="dxa"/>
            <w:tcBorders>
              <w:left w:val="single" w:sz="4" w:space="0" w:color="auto"/>
              <w:right w:val="single" w:sz="4" w:space="0" w:color="auto"/>
            </w:tcBorders>
            <w:vAlign w:val="center"/>
          </w:tcPr>
          <w:p w:rsidR="001646EC" w:rsidRPr="00511E67" w:rsidRDefault="001646EC" w:rsidP="00CD0AE9">
            <w:pPr>
              <w:autoSpaceDE w:val="0"/>
              <w:autoSpaceDN w:val="0"/>
              <w:adjustRightInd w:val="0"/>
              <w:jc w:val="center"/>
              <w:rPr>
                <w:rFonts w:eastAsia="Rockwell"/>
                <w:lang w:bidi="ar-SA"/>
              </w:rPr>
            </w:pPr>
          </w:p>
        </w:tc>
        <w:tc>
          <w:tcPr>
            <w:tcW w:w="1376" w:type="dxa"/>
            <w:tcBorders>
              <w:left w:val="single" w:sz="4" w:space="0" w:color="auto"/>
            </w:tcBorders>
            <w:vAlign w:val="center"/>
          </w:tcPr>
          <w:p w:rsidR="001646EC" w:rsidRPr="00511E67" w:rsidRDefault="001646EC" w:rsidP="00CD0AE9">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1646EC" w:rsidRPr="00511E67" w:rsidRDefault="001646EC" w:rsidP="00CD0AE9">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1646EC" w:rsidRPr="00511E67" w:rsidRDefault="001646EC" w:rsidP="00CD0AE9">
            <w:pPr>
              <w:autoSpaceDE w:val="0"/>
              <w:autoSpaceDN w:val="0"/>
              <w:adjustRightInd w:val="0"/>
              <w:jc w:val="center"/>
              <w:rPr>
                <w:rFonts w:eastAsia="Rockwell"/>
                <w:lang w:bidi="ar-SA"/>
              </w:rPr>
            </w:pPr>
          </w:p>
        </w:tc>
        <w:tc>
          <w:tcPr>
            <w:tcW w:w="694" w:type="dxa"/>
            <w:tcBorders>
              <w:right w:val="single" w:sz="4" w:space="0" w:color="auto"/>
            </w:tcBorders>
            <w:vAlign w:val="center"/>
          </w:tcPr>
          <w:p w:rsidR="001646EC" w:rsidRPr="00511E67" w:rsidRDefault="001646EC" w:rsidP="00CD0AE9">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1646EC" w:rsidRPr="00511E67" w:rsidRDefault="001646EC" w:rsidP="00CD0AE9">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1646EC" w:rsidRPr="00511E67" w:rsidRDefault="001646EC" w:rsidP="002F1217">
            <w:pPr>
              <w:autoSpaceDE w:val="0"/>
              <w:autoSpaceDN w:val="0"/>
              <w:adjustRightInd w:val="0"/>
              <w:jc w:val="center"/>
              <w:rPr>
                <w:rFonts w:eastAsia="Rockwell"/>
                <w:lang w:bidi="ar-SA"/>
              </w:rPr>
            </w:pPr>
            <w:r>
              <w:rPr>
                <w:rFonts w:eastAsia="Rockwell"/>
                <w:lang w:bidi="ar-SA"/>
              </w:rPr>
              <w:t>3</w:t>
            </w:r>
          </w:p>
        </w:tc>
        <w:tc>
          <w:tcPr>
            <w:tcW w:w="905" w:type="dxa"/>
            <w:vMerge/>
            <w:tcBorders>
              <w:left w:val="single" w:sz="4" w:space="0" w:color="auto"/>
            </w:tcBorders>
          </w:tcPr>
          <w:p w:rsidR="001646EC" w:rsidRPr="00404595" w:rsidRDefault="001646EC" w:rsidP="00CD0AE9">
            <w:pPr>
              <w:autoSpaceDE w:val="0"/>
              <w:autoSpaceDN w:val="0"/>
              <w:adjustRightInd w:val="0"/>
              <w:rPr>
                <w:rFonts w:eastAsia="Rockwell"/>
                <w:color w:val="0000FF"/>
                <w:lang w:bidi="ar-SA"/>
              </w:rPr>
            </w:pPr>
          </w:p>
        </w:tc>
      </w:tr>
    </w:tbl>
    <w:p w:rsidR="00E26E37" w:rsidRDefault="00E26E37" w:rsidP="00E26E37">
      <w:pP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810000"/>
          <w:lang w:bidi="ar-SA"/>
        </w:rPr>
      </w:pP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6.3 - Validation des stages et des projets…..</w:t>
      </w:r>
    </w:p>
    <w:p w:rsidR="00E26E37" w:rsidRPr="00803DE9" w:rsidRDefault="00E26E37" w:rsidP="00657F5A">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xml:space="preserve">- </w:t>
      </w:r>
      <w:r w:rsidR="00657F5A">
        <w:rPr>
          <w:lang w:bidi="ar-SA"/>
        </w:rPr>
        <w:t>E</w:t>
      </w:r>
      <w:r w:rsidR="00E52DCA">
        <w:rPr>
          <w:lang w:bidi="ar-SA"/>
        </w:rPr>
        <w:t>xposés des projets de groupe</w:t>
      </w:r>
    </w:p>
    <w:p w:rsidR="00E26E37" w:rsidRDefault="00E26E37" w:rsidP="00657F5A">
      <w:pPr>
        <w:pBdr>
          <w:top w:val="single" w:sz="4" w:space="1" w:color="auto"/>
          <w:left w:val="single" w:sz="4" w:space="4" w:color="auto"/>
          <w:bottom w:val="single" w:sz="4" w:space="1" w:color="auto"/>
          <w:right w:val="single" w:sz="4" w:space="4" w:color="auto"/>
        </w:pBdr>
        <w:autoSpaceDE w:val="0"/>
        <w:autoSpaceDN w:val="0"/>
        <w:adjustRightInd w:val="0"/>
        <w:rPr>
          <w:lang w:bidi="ar-SA"/>
        </w:rPr>
      </w:pPr>
      <w:r w:rsidRPr="00803DE9">
        <w:rPr>
          <w:lang w:bidi="ar-SA"/>
        </w:rPr>
        <w:t xml:space="preserve">2- </w:t>
      </w:r>
      <w:r w:rsidR="00E52DCA">
        <w:rPr>
          <w:lang w:bidi="ar-SA"/>
        </w:rPr>
        <w:t>Discussion des résultats de cartographie des controverses</w:t>
      </w:r>
    </w:p>
    <w:p w:rsidR="00E26E37" w:rsidRDefault="00E52DCA" w:rsidP="00E52DCA">
      <w:pPr>
        <w:pBdr>
          <w:top w:val="single" w:sz="4" w:space="1" w:color="auto"/>
          <w:left w:val="single" w:sz="4" w:space="4" w:color="auto"/>
          <w:bottom w:val="single" w:sz="4" w:space="1" w:color="auto"/>
          <w:right w:val="single" w:sz="4" w:space="4" w:color="auto"/>
        </w:pBdr>
        <w:autoSpaceDE w:val="0"/>
        <w:autoSpaceDN w:val="0"/>
        <w:adjustRightInd w:val="0"/>
        <w:rPr>
          <w:rFonts w:eastAsia="Rockwell"/>
          <w:color w:val="0000FF"/>
          <w:lang w:bidi="ar-SA"/>
        </w:rPr>
      </w:pPr>
      <w:r>
        <w:rPr>
          <w:color w:val="000000"/>
          <w:lang w:bidi="ar-SA"/>
        </w:rPr>
        <w:t xml:space="preserve">3-Attribution d’un certificat de formation en cartographie avec l’expert. </w:t>
      </w:r>
      <w:r w:rsidR="00E26E37">
        <w:rPr>
          <w:rFonts w:eastAsia="Rockwell"/>
          <w:color w:val="0000FF"/>
          <w:lang w:bidi="ar-SA"/>
        </w:rPr>
        <w:br w:type="page"/>
      </w:r>
    </w:p>
    <w:p w:rsidR="00E26E37" w:rsidRDefault="00E26E37" w:rsidP="00E26E37">
      <w:pPr>
        <w:autoSpaceDE w:val="0"/>
        <w:autoSpaceDN w:val="0"/>
        <w:adjustRightInd w:val="0"/>
        <w:rPr>
          <w:rFonts w:eastAsia="Rockwell"/>
          <w:color w:val="0000FF"/>
          <w:lang w:bidi="ar-SA"/>
        </w:rPr>
      </w:pPr>
    </w:p>
    <w:p w:rsidR="00E26E37" w:rsidRPr="00DA5EE0" w:rsidRDefault="00E26E37" w:rsidP="00DA5EE0">
      <w:pPr>
        <w:jc w:val="center"/>
        <w:rPr>
          <w:rFonts w:eastAsia="Rockwell"/>
          <w:b/>
          <w:bCs/>
          <w:color w:val="0000FF"/>
          <w:sz w:val="32"/>
          <w:szCs w:val="32"/>
          <w:lang w:bidi="ar-SA"/>
        </w:rPr>
      </w:pPr>
      <w:r>
        <w:rPr>
          <w:rFonts w:eastAsia="Rockwell"/>
          <w:b/>
          <w:bCs/>
          <w:color w:val="0000FF"/>
          <w:sz w:val="32"/>
          <w:szCs w:val="32"/>
          <w:lang w:bidi="ar-SA"/>
        </w:rPr>
        <w:t xml:space="preserve">ECUE n° 1 </w:t>
      </w:r>
      <w:r w:rsidR="00DA5EE0" w:rsidRPr="00DA5EE0">
        <w:rPr>
          <w:rFonts w:eastAsia="Rockwell"/>
          <w:b/>
          <w:bCs/>
          <w:color w:val="0000FF"/>
          <w:sz w:val="32"/>
          <w:szCs w:val="32"/>
          <w:lang w:bidi="ar-SA"/>
        </w:rPr>
        <w:t>Marketing international</w:t>
      </w:r>
    </w:p>
    <w:p w:rsidR="00E26E37" w:rsidRDefault="00E26E37" w:rsidP="00E26E37">
      <w:pPr>
        <w:autoSpaceDE w:val="0"/>
        <w:autoSpaceDN w:val="0"/>
        <w:adjustRightInd w:val="0"/>
        <w:jc w:val="center"/>
        <w:rPr>
          <w:rFonts w:eastAsia="Rockwell"/>
          <w:b/>
          <w:bCs/>
          <w:color w:val="0000FF"/>
          <w:sz w:val="32"/>
          <w:szCs w:val="32"/>
          <w:lang w:bidi="ar-SA"/>
        </w:rPr>
      </w:pPr>
    </w:p>
    <w:p w:rsidR="00E26E37" w:rsidRDefault="00E26E37" w:rsidP="00DE0BA7">
      <w:pPr>
        <w:autoSpaceDE w:val="0"/>
        <w:autoSpaceDN w:val="0"/>
        <w:adjustRightInd w:val="0"/>
        <w:jc w:val="center"/>
        <w:rPr>
          <w:rFonts w:eastAsia="Rockwell"/>
          <w:color w:val="000000"/>
          <w:sz w:val="20"/>
          <w:szCs w:val="20"/>
          <w:lang w:bidi="ar-SA"/>
        </w:rPr>
      </w:pPr>
      <w:r>
        <w:rPr>
          <w:rFonts w:eastAsia="Rockwell"/>
          <w:b/>
          <w:bCs/>
          <w:color w:val="0000FF"/>
          <w:sz w:val="32"/>
          <w:szCs w:val="32"/>
          <w:lang w:bidi="ar-SA"/>
        </w:rPr>
        <w:t>Code UE</w:t>
      </w:r>
      <w:r w:rsidR="00176649">
        <w:rPr>
          <w:rFonts w:eastAsia="Rockwell"/>
          <w:b/>
          <w:bCs/>
          <w:color w:val="0000FF"/>
          <w:sz w:val="32"/>
          <w:szCs w:val="32"/>
          <w:lang w:bidi="ar-SA"/>
        </w:rPr>
        <w:t>2</w:t>
      </w:r>
      <w:r w:rsidR="00DE0BA7">
        <w:rPr>
          <w:rFonts w:eastAsia="Rockwell"/>
          <w:b/>
          <w:bCs/>
          <w:color w:val="0000FF"/>
          <w:sz w:val="32"/>
          <w:szCs w:val="32"/>
          <w:lang w:bidi="ar-SA"/>
        </w:rPr>
        <w:t>4</w:t>
      </w:r>
    </w:p>
    <w:p w:rsidR="00E26E37" w:rsidRDefault="00E26E37" w:rsidP="00E26E37">
      <w:pPr>
        <w:jc w:val="center"/>
        <w:rPr>
          <w:b/>
          <w:bCs/>
          <w:color w:val="000000"/>
          <w:sz w:val="28"/>
          <w:szCs w:val="28"/>
          <w:lang w:bidi="ar-SA"/>
        </w:rPr>
      </w:pPr>
    </w:p>
    <w:p w:rsidR="00DA5EE0" w:rsidRDefault="00DA5EE0" w:rsidP="00DA5EE0">
      <w:r w:rsidRPr="003459C8">
        <w:rPr>
          <w:b/>
          <w:bCs/>
          <w:u w:val="single"/>
        </w:rPr>
        <w:t>Objectifs de l’ECUE</w:t>
      </w:r>
      <w:r>
        <w:t xml:space="preserve"> </w:t>
      </w:r>
    </w:p>
    <w:p w:rsidR="00DA5EE0" w:rsidRPr="00A34CF3" w:rsidRDefault="00DA5EE0" w:rsidP="00DA5EE0">
      <w:pPr>
        <w:spacing w:before="120" w:after="120"/>
        <w:jc w:val="both"/>
      </w:pPr>
      <w:r w:rsidRPr="00A34CF3">
        <w:t>Ce cours a pour objectif général d’examiner l’envergure et les défis du marketing international. Les impacts des facteurs économiques, politiques, culturels et légaux sont étudiés en relation avec les possibilités d’actions commerciales sur les marchés extérieurs. La recherche d’informations et l’évaluation des marchés internationaux sont présentées comme outils essentiels de formulation d’une stratégie de commercialisation et d’élaboration d’un mix marketing international.</w:t>
      </w:r>
    </w:p>
    <w:p w:rsidR="00DA5EE0" w:rsidRPr="00A34CF3" w:rsidRDefault="00DA5EE0" w:rsidP="00DA5EE0">
      <w:pPr>
        <w:spacing w:before="120" w:after="120"/>
        <w:jc w:val="both"/>
      </w:pPr>
      <w:r w:rsidRPr="00A34CF3">
        <w:t>En effet, dans le contexte actuel de mondialisation des marchés, numériques notamment, les étudiants auront les bases de l'approche interculturelle du marketing et du Mix marketing à l’échelle internationale. Le but est de former des cadres de haut niveau aptes à exercer des fonctions marketing dans un environnement de plus en plus mondialisé grâce aux TIC.</w:t>
      </w:r>
    </w:p>
    <w:p w:rsidR="00DA5EE0" w:rsidRDefault="00DA5EE0" w:rsidP="00DA5EE0">
      <w:pPr>
        <w:pStyle w:val="Titre1"/>
        <w:bidi w:val="0"/>
      </w:pPr>
    </w:p>
    <w:p w:rsidR="00DA5EE0" w:rsidRDefault="00DA5EE0" w:rsidP="00DA5EE0">
      <w:pPr>
        <w:pStyle w:val="Titre1"/>
        <w:bidi w:val="0"/>
      </w:pPr>
      <w:r>
        <w:t xml:space="preserve">Chapitre I </w:t>
      </w:r>
    </w:p>
    <w:p w:rsidR="00DA5EE0" w:rsidRDefault="00DA5EE0" w:rsidP="00DA5EE0"/>
    <w:p w:rsidR="00DA5EE0" w:rsidRPr="00E229A2" w:rsidRDefault="00DA5EE0" w:rsidP="00DA5EE0">
      <w:pPr>
        <w:widowControl w:val="0"/>
        <w:autoSpaceDE w:val="0"/>
        <w:autoSpaceDN w:val="0"/>
        <w:adjustRightInd w:val="0"/>
        <w:ind w:left="360"/>
        <w:textAlignment w:val="baseline"/>
        <w:rPr>
          <w:b/>
          <w:iCs/>
        </w:rPr>
      </w:pPr>
      <w:r w:rsidRPr="00E229A2">
        <w:rPr>
          <w:b/>
          <w:iCs/>
        </w:rPr>
        <w:t>Introduction au marketing international et à son environnement</w:t>
      </w:r>
    </w:p>
    <w:p w:rsidR="00DA5EE0" w:rsidRPr="00724A8A" w:rsidRDefault="00DA5EE0" w:rsidP="00DA5EE0">
      <w:pPr>
        <w:ind w:left="360"/>
        <w:jc w:val="both"/>
        <w:rPr>
          <w:b/>
        </w:rPr>
      </w:pPr>
    </w:p>
    <w:p w:rsidR="00DA5EE0" w:rsidRDefault="00DA5EE0" w:rsidP="00DA5EE0">
      <w:pPr>
        <w:ind w:left="708"/>
      </w:pPr>
    </w:p>
    <w:p w:rsidR="00DA5EE0" w:rsidRPr="00D05868" w:rsidRDefault="00DA5EE0" w:rsidP="00DA5EE0">
      <w:pPr>
        <w:rPr>
          <w:bCs/>
        </w:rPr>
      </w:pPr>
      <w:r w:rsidRPr="00D05868">
        <w:rPr>
          <w:bCs/>
        </w:rPr>
        <w:t xml:space="preserve">I. L’internationalisation des entreprises </w:t>
      </w:r>
    </w:p>
    <w:p w:rsidR="00DA5EE0" w:rsidRPr="00D05868" w:rsidRDefault="00DA5EE0" w:rsidP="00DA5EE0">
      <w:pPr>
        <w:rPr>
          <w:bCs/>
        </w:rPr>
      </w:pPr>
      <w:r w:rsidRPr="00D05868">
        <w:rPr>
          <w:bCs/>
        </w:rPr>
        <w:t>II. L’environnement international</w:t>
      </w:r>
    </w:p>
    <w:p w:rsidR="00DA5EE0" w:rsidRPr="00D05868" w:rsidRDefault="00DA5EE0" w:rsidP="00DA5EE0">
      <w:pPr>
        <w:rPr>
          <w:bCs/>
        </w:rPr>
      </w:pPr>
      <w:r w:rsidRPr="00D05868">
        <w:rPr>
          <w:bCs/>
        </w:rPr>
        <w:t>III. L’environnement culturel</w:t>
      </w:r>
    </w:p>
    <w:p w:rsidR="00DA5EE0" w:rsidRDefault="00DA5EE0" w:rsidP="00DA5EE0"/>
    <w:p w:rsidR="00DA5EE0" w:rsidRDefault="00DA5EE0" w:rsidP="00DA5EE0">
      <w:pPr>
        <w:pStyle w:val="Titre1"/>
        <w:bidi w:val="0"/>
      </w:pPr>
      <w:r>
        <w:t>Chapitre II</w:t>
      </w:r>
    </w:p>
    <w:p w:rsidR="00DA5EE0" w:rsidRPr="00E229A2" w:rsidRDefault="00DA5EE0" w:rsidP="00DA5EE0">
      <w:pPr>
        <w:widowControl w:val="0"/>
        <w:autoSpaceDE w:val="0"/>
        <w:autoSpaceDN w:val="0"/>
        <w:adjustRightInd w:val="0"/>
        <w:ind w:left="360"/>
        <w:textAlignment w:val="baseline"/>
        <w:rPr>
          <w:b/>
          <w:iCs/>
        </w:rPr>
      </w:pPr>
      <w:r w:rsidRPr="00E229A2">
        <w:rPr>
          <w:b/>
          <w:iCs/>
        </w:rPr>
        <w:t>Les études de marché internationales et le développement international de l'entreprise</w:t>
      </w:r>
    </w:p>
    <w:p w:rsidR="00DA5EE0" w:rsidRDefault="00DA5EE0" w:rsidP="00DA5EE0"/>
    <w:p w:rsidR="00DA5EE0" w:rsidRPr="00D05868" w:rsidRDefault="00DA5EE0" w:rsidP="00DA5EE0">
      <w:r w:rsidRPr="00D05868">
        <w:rPr>
          <w:bCs/>
        </w:rPr>
        <w:t>I. La stratégie d’internationalisation</w:t>
      </w:r>
    </w:p>
    <w:p w:rsidR="00DA5EE0" w:rsidRPr="00D05868" w:rsidRDefault="00DA5EE0" w:rsidP="00DA5EE0">
      <w:r w:rsidRPr="00D05868">
        <w:rPr>
          <w:bCs/>
        </w:rPr>
        <w:t>II. Les études de marché internationales</w:t>
      </w:r>
    </w:p>
    <w:p w:rsidR="00DA5EE0" w:rsidRPr="00D05868" w:rsidRDefault="00DA5EE0" w:rsidP="00DA5EE0"/>
    <w:p w:rsidR="00DA5EE0" w:rsidRDefault="00DA5EE0" w:rsidP="00DA5EE0">
      <w:pPr>
        <w:pStyle w:val="Titre1"/>
        <w:bidi w:val="0"/>
      </w:pPr>
    </w:p>
    <w:p w:rsidR="00DA5EE0" w:rsidRDefault="00DA5EE0" w:rsidP="00DA5EE0">
      <w:pPr>
        <w:pStyle w:val="Titre1"/>
        <w:bidi w:val="0"/>
      </w:pPr>
    </w:p>
    <w:p w:rsidR="00DA5EE0" w:rsidRDefault="00DA5EE0" w:rsidP="00DA5EE0">
      <w:pPr>
        <w:pStyle w:val="Titre1"/>
        <w:bidi w:val="0"/>
      </w:pPr>
      <w:r>
        <w:t>Chapitre III</w:t>
      </w:r>
    </w:p>
    <w:p w:rsidR="00DA5EE0" w:rsidRPr="00E229A2" w:rsidRDefault="00DA5EE0" w:rsidP="00DA5EE0">
      <w:pPr>
        <w:widowControl w:val="0"/>
        <w:autoSpaceDE w:val="0"/>
        <w:autoSpaceDN w:val="0"/>
        <w:adjustRightInd w:val="0"/>
        <w:ind w:left="360"/>
        <w:textAlignment w:val="baseline"/>
        <w:rPr>
          <w:b/>
          <w:iCs/>
        </w:rPr>
      </w:pPr>
      <w:r w:rsidRPr="00E229A2">
        <w:rPr>
          <w:b/>
          <w:iCs/>
        </w:rPr>
        <w:t>Marketing stratégique international</w:t>
      </w:r>
    </w:p>
    <w:p w:rsidR="00DA5EE0" w:rsidRPr="00724A8A" w:rsidRDefault="00DA5EE0" w:rsidP="00DA5EE0">
      <w:pPr>
        <w:ind w:left="360"/>
        <w:jc w:val="both"/>
        <w:rPr>
          <w:b/>
        </w:rPr>
      </w:pPr>
    </w:p>
    <w:p w:rsidR="00DA5EE0" w:rsidRPr="00724A8A" w:rsidRDefault="00DA5EE0" w:rsidP="00DA5EE0">
      <w:pPr>
        <w:rPr>
          <w:b/>
        </w:rPr>
      </w:pPr>
    </w:p>
    <w:p w:rsidR="00DA5EE0" w:rsidRPr="00D05868" w:rsidRDefault="00DA5EE0" w:rsidP="00DA5EE0">
      <w:r w:rsidRPr="00D05868">
        <w:rPr>
          <w:iCs/>
        </w:rPr>
        <w:t>I. Marketing stratégique global ou local ?</w:t>
      </w:r>
    </w:p>
    <w:p w:rsidR="00DA5EE0" w:rsidRPr="00D05868" w:rsidRDefault="00DA5EE0" w:rsidP="00DA5EE0">
      <w:r w:rsidRPr="00D05868">
        <w:rPr>
          <w:bCs/>
          <w:iCs/>
        </w:rPr>
        <w:t>II. La segmentation internationale</w:t>
      </w:r>
    </w:p>
    <w:p w:rsidR="00DA5EE0" w:rsidRPr="00D05868" w:rsidRDefault="00DA5EE0" w:rsidP="00DA5EE0">
      <w:r w:rsidRPr="00D05868">
        <w:rPr>
          <w:bCs/>
          <w:iCs/>
        </w:rPr>
        <w:t>III. Le positionnement international</w:t>
      </w:r>
    </w:p>
    <w:p w:rsidR="00DA5EE0" w:rsidRDefault="00DA5EE0" w:rsidP="00DA5EE0"/>
    <w:p w:rsidR="00DA5EE0" w:rsidRDefault="00DA5EE0" w:rsidP="00DA5EE0"/>
    <w:p w:rsidR="00DA5EE0" w:rsidRDefault="00DA5EE0" w:rsidP="00DA5EE0">
      <w:pPr>
        <w:pStyle w:val="Titre1"/>
        <w:bidi w:val="0"/>
      </w:pPr>
      <w:r>
        <w:t>Chapitre IV</w:t>
      </w:r>
    </w:p>
    <w:p w:rsidR="00DA5EE0" w:rsidRPr="00E229A2" w:rsidRDefault="00DA5EE0" w:rsidP="00DA5EE0">
      <w:pPr>
        <w:widowControl w:val="0"/>
        <w:autoSpaceDE w:val="0"/>
        <w:autoSpaceDN w:val="0"/>
        <w:adjustRightInd w:val="0"/>
        <w:ind w:left="360"/>
        <w:textAlignment w:val="baseline"/>
        <w:rPr>
          <w:b/>
          <w:iCs/>
        </w:rPr>
      </w:pPr>
      <w:r w:rsidRPr="00E229A2">
        <w:rPr>
          <w:b/>
          <w:iCs/>
        </w:rPr>
        <w:t>Politique de produit internationale</w:t>
      </w:r>
    </w:p>
    <w:p w:rsidR="00DA5EE0" w:rsidRDefault="00DA5EE0" w:rsidP="00DA5EE0">
      <w:pPr>
        <w:pStyle w:val="Titre1"/>
        <w:bidi w:val="0"/>
      </w:pPr>
    </w:p>
    <w:p w:rsidR="00DA5EE0" w:rsidRPr="00D05868" w:rsidRDefault="00DA5EE0" w:rsidP="00DA5EE0">
      <w:r w:rsidRPr="00D05868">
        <w:rPr>
          <w:bCs/>
          <w:iCs/>
        </w:rPr>
        <w:t>I. Standardisation ou adaptation de la politique de produit internationale</w:t>
      </w:r>
    </w:p>
    <w:p w:rsidR="00DA5EE0" w:rsidRPr="00D05868" w:rsidRDefault="00DA5EE0" w:rsidP="00DA5EE0">
      <w:r w:rsidRPr="00D05868">
        <w:rPr>
          <w:bCs/>
          <w:iCs/>
        </w:rPr>
        <w:lastRenderedPageBreak/>
        <w:t>II. Impact d'une modification du produit</w:t>
      </w:r>
    </w:p>
    <w:p w:rsidR="00DA5EE0" w:rsidRPr="00D05868" w:rsidRDefault="00DA5EE0" w:rsidP="00DA5EE0">
      <w:r w:rsidRPr="00D05868">
        <w:rPr>
          <w:bCs/>
          <w:iCs/>
        </w:rPr>
        <w:t>III. Les marques internationales et mondiales</w:t>
      </w:r>
    </w:p>
    <w:p w:rsidR="00DA5EE0" w:rsidRPr="00D05868" w:rsidRDefault="00DA5EE0" w:rsidP="00DA5EE0">
      <w:r w:rsidRPr="00D05868">
        <w:rPr>
          <w:bCs/>
          <w:iCs/>
        </w:rPr>
        <w:t>IV. Les réactions des consommateurs à l’égard des produits étrangers</w:t>
      </w:r>
    </w:p>
    <w:p w:rsidR="00DA5EE0" w:rsidRDefault="00DA5EE0" w:rsidP="00DA5EE0">
      <w:r w:rsidRPr="00085B6E">
        <w:rPr>
          <w:b/>
          <w:bCs/>
        </w:rPr>
        <w:t>Études de cas </w:t>
      </w:r>
    </w:p>
    <w:p w:rsidR="00DA5EE0" w:rsidRDefault="00DA5EE0" w:rsidP="00DA5EE0">
      <w:pPr>
        <w:pStyle w:val="Titre1"/>
        <w:bidi w:val="0"/>
      </w:pPr>
    </w:p>
    <w:p w:rsidR="00DA5EE0" w:rsidRDefault="00DA5EE0" w:rsidP="00DA5EE0">
      <w:pPr>
        <w:pStyle w:val="Titre1"/>
        <w:bidi w:val="0"/>
      </w:pPr>
    </w:p>
    <w:p w:rsidR="00DA5EE0" w:rsidRDefault="00DA5EE0" w:rsidP="00DA5EE0">
      <w:pPr>
        <w:pStyle w:val="Titre1"/>
        <w:bidi w:val="0"/>
      </w:pPr>
      <w:r>
        <w:t>Chapitre V</w:t>
      </w:r>
    </w:p>
    <w:p w:rsidR="00DA5EE0" w:rsidRPr="00E229A2" w:rsidRDefault="00DA5EE0" w:rsidP="00DA5EE0">
      <w:pPr>
        <w:widowControl w:val="0"/>
        <w:autoSpaceDE w:val="0"/>
        <w:autoSpaceDN w:val="0"/>
        <w:adjustRightInd w:val="0"/>
        <w:ind w:left="360"/>
        <w:textAlignment w:val="baseline"/>
        <w:rPr>
          <w:b/>
          <w:iCs/>
        </w:rPr>
      </w:pPr>
      <w:r w:rsidRPr="00E229A2">
        <w:rPr>
          <w:b/>
          <w:iCs/>
        </w:rPr>
        <w:t>Politique de prix internationale</w:t>
      </w:r>
    </w:p>
    <w:p w:rsidR="00DA5EE0" w:rsidRDefault="00DA5EE0" w:rsidP="00DA5EE0">
      <w:pPr>
        <w:pStyle w:val="Titre1"/>
        <w:bidi w:val="0"/>
      </w:pPr>
    </w:p>
    <w:p w:rsidR="00DA5EE0" w:rsidRPr="00D05868" w:rsidRDefault="00DA5EE0" w:rsidP="00DA5EE0">
      <w:r w:rsidRPr="00D05868">
        <w:t xml:space="preserve">I. </w:t>
      </w:r>
      <w:r w:rsidRPr="00D05868">
        <w:rPr>
          <w:bCs/>
          <w:iCs/>
        </w:rPr>
        <w:t>Rappel des éléments de base de la politique de prix</w:t>
      </w:r>
    </w:p>
    <w:p w:rsidR="00DA5EE0" w:rsidRPr="00D05868" w:rsidRDefault="00DA5EE0" w:rsidP="00DA5EE0">
      <w:r w:rsidRPr="00D05868">
        <w:rPr>
          <w:bCs/>
          <w:iCs/>
        </w:rPr>
        <w:t>II. La fixation des prix à l’exportation</w:t>
      </w:r>
    </w:p>
    <w:p w:rsidR="00DA5EE0" w:rsidRPr="00D05868" w:rsidRDefault="00DA5EE0" w:rsidP="00DA5EE0">
      <w:r w:rsidRPr="00D05868">
        <w:rPr>
          <w:bCs/>
          <w:iCs/>
        </w:rPr>
        <w:t>III. Importance de la nature du mode de présence à l’étranger</w:t>
      </w:r>
    </w:p>
    <w:p w:rsidR="00DA5EE0" w:rsidRPr="00D05868" w:rsidRDefault="00DA5EE0" w:rsidP="00DA5EE0">
      <w:r w:rsidRPr="00D05868">
        <w:rPr>
          <w:bCs/>
          <w:iCs/>
        </w:rPr>
        <w:t>IV. Les objectifs de la politique de prix</w:t>
      </w:r>
      <w:r w:rsidRPr="00D05868">
        <w:rPr>
          <w:iCs/>
        </w:rPr>
        <w:t xml:space="preserve"> </w:t>
      </w:r>
    </w:p>
    <w:p w:rsidR="00DA5EE0" w:rsidRPr="00D05868" w:rsidRDefault="00DA5EE0" w:rsidP="00DA5EE0">
      <w:r w:rsidRPr="00D05868">
        <w:rPr>
          <w:bCs/>
          <w:iCs/>
        </w:rPr>
        <w:t>V. Quelle politique internationale de prix une entreprise doit-elle suivre ?</w:t>
      </w:r>
    </w:p>
    <w:p w:rsidR="00DA5EE0" w:rsidRDefault="00DA5EE0" w:rsidP="00DA5EE0">
      <w:pPr>
        <w:pStyle w:val="Titre1"/>
        <w:bidi w:val="0"/>
      </w:pPr>
    </w:p>
    <w:p w:rsidR="00DA5EE0" w:rsidRDefault="00DA5EE0" w:rsidP="00DA5EE0">
      <w:pPr>
        <w:pStyle w:val="Titre1"/>
        <w:bidi w:val="0"/>
      </w:pPr>
    </w:p>
    <w:p w:rsidR="00DA5EE0" w:rsidRDefault="00DA5EE0" w:rsidP="00DA5EE0">
      <w:pPr>
        <w:pStyle w:val="Titre1"/>
        <w:bidi w:val="0"/>
      </w:pPr>
      <w:r>
        <w:t xml:space="preserve">Chapitre  VI </w:t>
      </w:r>
    </w:p>
    <w:p w:rsidR="00DA5EE0" w:rsidRPr="00E229A2" w:rsidRDefault="00DA5EE0" w:rsidP="00DA5EE0">
      <w:pPr>
        <w:widowControl w:val="0"/>
        <w:autoSpaceDE w:val="0"/>
        <w:autoSpaceDN w:val="0"/>
        <w:adjustRightInd w:val="0"/>
        <w:textAlignment w:val="baseline"/>
        <w:rPr>
          <w:b/>
          <w:iCs/>
        </w:rPr>
      </w:pPr>
      <w:r w:rsidRPr="00E229A2">
        <w:rPr>
          <w:b/>
          <w:iCs/>
        </w:rPr>
        <w:t>Politique de distribution internationale</w:t>
      </w:r>
    </w:p>
    <w:p w:rsidR="00DA5EE0" w:rsidRDefault="00DA5EE0" w:rsidP="00DA5EE0">
      <w:pPr>
        <w:widowControl w:val="0"/>
        <w:autoSpaceDE w:val="0"/>
        <w:autoSpaceDN w:val="0"/>
        <w:adjustRightInd w:val="0"/>
        <w:ind w:left="360"/>
        <w:textAlignment w:val="baseline"/>
      </w:pPr>
    </w:p>
    <w:p w:rsidR="00DA5EE0" w:rsidRPr="00D05868" w:rsidRDefault="00DA5EE0" w:rsidP="00DA5EE0">
      <w:r w:rsidRPr="00D05868">
        <w:rPr>
          <w:bCs/>
        </w:rPr>
        <w:t>I. La structure de la distribution</w:t>
      </w:r>
    </w:p>
    <w:p w:rsidR="00DA5EE0" w:rsidRPr="00D05868" w:rsidRDefault="00DA5EE0" w:rsidP="00DA5EE0">
      <w:r w:rsidRPr="00D05868">
        <w:rPr>
          <w:bCs/>
        </w:rPr>
        <w:t>II. Les différents modes de distribution</w:t>
      </w:r>
    </w:p>
    <w:p w:rsidR="00DA5EE0" w:rsidRPr="00D05868" w:rsidRDefault="00DA5EE0" w:rsidP="00DA5EE0">
      <w:r w:rsidRPr="00D05868">
        <w:rPr>
          <w:bCs/>
        </w:rPr>
        <w:t>III. La stratégie de distribution adaptée à l’entrée sur un nouveau marché</w:t>
      </w:r>
    </w:p>
    <w:p w:rsidR="00DA5EE0" w:rsidRPr="00D05868" w:rsidRDefault="00DA5EE0" w:rsidP="00DA5EE0">
      <w:r w:rsidRPr="00D05868">
        <w:rPr>
          <w:bCs/>
        </w:rPr>
        <w:t>IV. L’adaptation est la règle en distribution internationale.</w:t>
      </w:r>
    </w:p>
    <w:p w:rsidR="00DA5EE0" w:rsidRPr="00D05868" w:rsidRDefault="00DA5EE0" w:rsidP="00DA5EE0">
      <w:r w:rsidRPr="00D05868">
        <w:rPr>
          <w:bCs/>
        </w:rPr>
        <w:t>V. Modes de présence et distribution à l’étranger</w:t>
      </w:r>
      <w:r w:rsidRPr="00D05868">
        <w:rPr>
          <w:iCs/>
        </w:rPr>
        <w:t xml:space="preserve"> </w:t>
      </w:r>
    </w:p>
    <w:p w:rsidR="00DA5EE0" w:rsidRPr="00E229A2" w:rsidRDefault="00DA5EE0" w:rsidP="00DA5EE0">
      <w:pPr>
        <w:widowControl w:val="0"/>
        <w:autoSpaceDE w:val="0"/>
        <w:autoSpaceDN w:val="0"/>
        <w:adjustRightInd w:val="0"/>
        <w:ind w:left="360"/>
        <w:textAlignment w:val="baseline"/>
      </w:pPr>
    </w:p>
    <w:p w:rsidR="00DA5EE0" w:rsidRPr="00E229A2" w:rsidRDefault="00DA5EE0" w:rsidP="00DA5EE0">
      <w:r w:rsidRPr="00E229A2">
        <w:t>Études de cas </w:t>
      </w:r>
    </w:p>
    <w:p w:rsidR="00DA5EE0" w:rsidRDefault="00DA5EE0" w:rsidP="00DA5EE0">
      <w:pPr>
        <w:pStyle w:val="Titre1"/>
        <w:bidi w:val="0"/>
      </w:pPr>
    </w:p>
    <w:p w:rsidR="00DA5EE0" w:rsidRDefault="00DA5EE0" w:rsidP="00DA5EE0">
      <w:pPr>
        <w:pStyle w:val="Titre1"/>
        <w:bidi w:val="0"/>
      </w:pPr>
    </w:p>
    <w:p w:rsidR="00DA5EE0" w:rsidRDefault="00DA5EE0" w:rsidP="00DA5EE0">
      <w:pPr>
        <w:pStyle w:val="Titre1"/>
        <w:bidi w:val="0"/>
      </w:pPr>
      <w:r>
        <w:t xml:space="preserve">Chapitre VII </w:t>
      </w:r>
    </w:p>
    <w:p w:rsidR="00DA5EE0" w:rsidRPr="00E229A2" w:rsidRDefault="00DA5EE0" w:rsidP="00DA5EE0">
      <w:pPr>
        <w:widowControl w:val="0"/>
        <w:autoSpaceDE w:val="0"/>
        <w:autoSpaceDN w:val="0"/>
        <w:adjustRightInd w:val="0"/>
        <w:ind w:left="360"/>
        <w:textAlignment w:val="baseline"/>
        <w:rPr>
          <w:b/>
          <w:iCs/>
        </w:rPr>
      </w:pPr>
      <w:r w:rsidRPr="00E229A2">
        <w:rPr>
          <w:b/>
          <w:iCs/>
        </w:rPr>
        <w:t>Politique de communication internationale</w:t>
      </w:r>
    </w:p>
    <w:p w:rsidR="00DA5EE0" w:rsidRPr="00FD6D5C" w:rsidRDefault="00DA5EE0" w:rsidP="00DA5EE0">
      <w:pPr>
        <w:framePr w:hSpace="141" w:wrap="auto" w:vAnchor="text" w:hAnchor="margin" w:xAlign="center" w:y="128"/>
        <w:jc w:val="both"/>
      </w:pPr>
    </w:p>
    <w:p w:rsidR="00DA5EE0" w:rsidRDefault="00DA5EE0" w:rsidP="00DA5EE0">
      <w:pPr>
        <w:ind w:left="360"/>
        <w:jc w:val="both"/>
        <w:rPr>
          <w:b/>
          <w:bCs/>
        </w:rPr>
      </w:pPr>
    </w:p>
    <w:p w:rsidR="00DA5EE0" w:rsidRPr="00D05868" w:rsidRDefault="00DA5EE0" w:rsidP="00DA5EE0">
      <w:r w:rsidRPr="00D05868">
        <w:rPr>
          <w:bCs/>
          <w:iCs/>
        </w:rPr>
        <w:t>I. La publicité</w:t>
      </w:r>
    </w:p>
    <w:p w:rsidR="00DA5EE0" w:rsidRPr="00D05868" w:rsidRDefault="00DA5EE0" w:rsidP="00DA5EE0">
      <w:r w:rsidRPr="00D05868">
        <w:rPr>
          <w:bCs/>
          <w:iCs/>
        </w:rPr>
        <w:t xml:space="preserve">II. Développement </w:t>
      </w:r>
      <w:proofErr w:type="gramStart"/>
      <w:r w:rsidRPr="00D05868">
        <w:rPr>
          <w:bCs/>
          <w:iCs/>
        </w:rPr>
        <w:t>géographique  :</w:t>
      </w:r>
      <w:proofErr w:type="gramEnd"/>
      <w:r w:rsidRPr="00D05868">
        <w:rPr>
          <w:bCs/>
          <w:iCs/>
        </w:rPr>
        <w:t xml:space="preserve"> Les options stratégiques de communication</w:t>
      </w:r>
    </w:p>
    <w:p w:rsidR="00DA5EE0" w:rsidRPr="00D05868" w:rsidRDefault="00DA5EE0" w:rsidP="00DA5EE0">
      <w:r w:rsidRPr="00D05868">
        <w:rPr>
          <w:bCs/>
          <w:iCs/>
        </w:rPr>
        <w:t>III. Comment choisir une stratégie ?</w:t>
      </w:r>
    </w:p>
    <w:p w:rsidR="00DA5EE0" w:rsidRDefault="00DA5EE0" w:rsidP="00DA5EE0">
      <w:pPr>
        <w:ind w:left="360"/>
        <w:jc w:val="both"/>
        <w:rPr>
          <w:b/>
          <w:bCs/>
        </w:rPr>
      </w:pPr>
    </w:p>
    <w:p w:rsidR="00DA5EE0" w:rsidRPr="00E229A2" w:rsidRDefault="00DA5EE0" w:rsidP="00DA5EE0">
      <w:pPr>
        <w:ind w:left="360"/>
        <w:jc w:val="both"/>
      </w:pPr>
      <w:r>
        <w:t>E</w:t>
      </w:r>
      <w:r w:rsidRPr="00E229A2">
        <w:t>tudes de cas </w:t>
      </w:r>
    </w:p>
    <w:p w:rsidR="00E26E37" w:rsidRPr="007A79C1" w:rsidRDefault="00E26E37" w:rsidP="00E26E37">
      <w:pPr>
        <w:autoSpaceDE w:val="0"/>
        <w:autoSpaceDN w:val="0"/>
        <w:adjustRightInd w:val="0"/>
        <w:jc w:val="both"/>
        <w:rPr>
          <w:b/>
          <w:bCs/>
          <w:color w:val="000000"/>
          <w:sz w:val="28"/>
          <w:szCs w:val="28"/>
          <w:lang w:bidi="ar-SA"/>
        </w:rPr>
      </w:pPr>
      <w:r w:rsidRPr="007A79C1">
        <w:rPr>
          <w:b/>
          <w:bCs/>
          <w:color w:val="000000"/>
          <w:sz w:val="28"/>
          <w:szCs w:val="28"/>
          <w:lang w:bidi="ar-SA"/>
        </w:rPr>
        <w:br w:type="page"/>
      </w:r>
    </w:p>
    <w:p w:rsidR="00204F8C" w:rsidRDefault="00DA5EE0" w:rsidP="00204F8C">
      <w:pPr>
        <w:jc w:val="center"/>
        <w:rPr>
          <w:rFonts w:eastAsia="Rockwell"/>
          <w:b/>
          <w:bCs/>
          <w:color w:val="0000FF"/>
          <w:sz w:val="32"/>
          <w:szCs w:val="32"/>
          <w:lang w:bidi="ar-SA"/>
        </w:rPr>
      </w:pPr>
      <w:r>
        <w:rPr>
          <w:rFonts w:eastAsia="Rockwell"/>
          <w:b/>
          <w:bCs/>
          <w:color w:val="0000FF"/>
          <w:sz w:val="32"/>
          <w:szCs w:val="32"/>
          <w:lang w:bidi="ar-SA"/>
        </w:rPr>
        <w:lastRenderedPageBreak/>
        <w:t>ECUE n</w:t>
      </w:r>
      <w:r w:rsidR="00204F8C">
        <w:rPr>
          <w:rFonts w:eastAsia="Rockwell"/>
          <w:b/>
          <w:bCs/>
          <w:color w:val="0000FF"/>
          <w:sz w:val="32"/>
          <w:szCs w:val="32"/>
          <w:lang w:bidi="ar-SA"/>
        </w:rPr>
        <w:t xml:space="preserve"> 2</w:t>
      </w:r>
    </w:p>
    <w:p w:rsidR="00657F5A" w:rsidRDefault="00657F5A" w:rsidP="00657F5A">
      <w:pPr>
        <w:autoSpaceDE w:val="0"/>
        <w:autoSpaceDN w:val="0"/>
        <w:adjustRightInd w:val="0"/>
        <w:jc w:val="center"/>
        <w:rPr>
          <w:rFonts w:eastAsia="Rockwell"/>
          <w:color w:val="000000"/>
          <w:sz w:val="20"/>
          <w:szCs w:val="20"/>
          <w:lang w:bidi="ar-SA"/>
        </w:rPr>
      </w:pPr>
      <w:r>
        <w:rPr>
          <w:rFonts w:eastAsia="Rockwell"/>
          <w:b/>
          <w:bCs/>
          <w:color w:val="0000FF"/>
          <w:sz w:val="32"/>
          <w:szCs w:val="32"/>
          <w:lang w:bidi="ar-SA"/>
        </w:rPr>
        <w:t>Code UE24</w:t>
      </w:r>
    </w:p>
    <w:p w:rsidR="00657F5A" w:rsidRDefault="00657F5A" w:rsidP="00204F8C">
      <w:pPr>
        <w:jc w:val="center"/>
        <w:rPr>
          <w:rFonts w:eastAsia="Rockwell"/>
          <w:b/>
          <w:bCs/>
          <w:color w:val="0000FF"/>
          <w:sz w:val="32"/>
          <w:szCs w:val="32"/>
          <w:lang w:bidi="ar-SA"/>
        </w:rPr>
      </w:pPr>
    </w:p>
    <w:p w:rsidR="00086EFD" w:rsidRDefault="00086EFD" w:rsidP="00204F8C">
      <w:pPr>
        <w:jc w:val="center"/>
      </w:pPr>
      <w:r>
        <w:t>IBE</w:t>
      </w:r>
    </w:p>
    <w:p w:rsidR="00086EFD" w:rsidRDefault="00086EFD" w:rsidP="00204F8C">
      <w:pPr>
        <w:jc w:val="center"/>
      </w:pPr>
    </w:p>
    <w:p w:rsidR="00204F8C" w:rsidRDefault="00204F8C" w:rsidP="00204F8C">
      <w:r>
        <w:t>Planning cours IBE</w:t>
      </w:r>
    </w:p>
    <w:tbl>
      <w:tblPr>
        <w:tblStyle w:val="Grilledutableau"/>
        <w:tblW w:w="0" w:type="auto"/>
        <w:tblLook w:val="04A0"/>
      </w:tblPr>
      <w:tblGrid>
        <w:gridCol w:w="4606"/>
        <w:gridCol w:w="4606"/>
      </w:tblGrid>
      <w:tr w:rsidR="00204F8C" w:rsidTr="005779EC">
        <w:tc>
          <w:tcPr>
            <w:tcW w:w="4606" w:type="dxa"/>
          </w:tcPr>
          <w:p w:rsidR="00204F8C" w:rsidRDefault="00204F8C" w:rsidP="005779EC">
            <w:r>
              <w:t>Date et horaire</w:t>
            </w:r>
          </w:p>
        </w:tc>
        <w:tc>
          <w:tcPr>
            <w:tcW w:w="4606" w:type="dxa"/>
          </w:tcPr>
          <w:p w:rsidR="00204F8C" w:rsidRDefault="00204F8C" w:rsidP="005779EC">
            <w:r>
              <w:t xml:space="preserve">Séance </w:t>
            </w:r>
          </w:p>
        </w:tc>
      </w:tr>
      <w:tr w:rsidR="00204F8C" w:rsidTr="005779EC">
        <w:tc>
          <w:tcPr>
            <w:tcW w:w="4606" w:type="dxa"/>
          </w:tcPr>
          <w:p w:rsidR="00204F8C" w:rsidRDefault="00204F8C" w:rsidP="005779EC">
            <w:r>
              <w:t>17/04 8h30-12h30 (30 mn de pause) 3.5 h</w:t>
            </w:r>
          </w:p>
        </w:tc>
        <w:tc>
          <w:tcPr>
            <w:tcW w:w="4606" w:type="dxa"/>
          </w:tcPr>
          <w:p w:rsidR="00204F8C" w:rsidRDefault="00204F8C" w:rsidP="005779EC">
            <w:r>
              <w:t xml:space="preserve">Séance 1 introduction générale </w:t>
            </w:r>
          </w:p>
        </w:tc>
      </w:tr>
      <w:tr w:rsidR="00204F8C" w:rsidTr="005779EC">
        <w:tc>
          <w:tcPr>
            <w:tcW w:w="4606" w:type="dxa"/>
          </w:tcPr>
          <w:p w:rsidR="00204F8C" w:rsidRDefault="00204F8C" w:rsidP="005779EC">
            <w:r>
              <w:t>17/04 13h30-17h00 (30 mn de pause) 3h</w:t>
            </w:r>
          </w:p>
        </w:tc>
        <w:tc>
          <w:tcPr>
            <w:tcW w:w="4606" w:type="dxa"/>
          </w:tcPr>
          <w:p w:rsidR="00204F8C" w:rsidRDefault="00204F8C" w:rsidP="005779EC">
            <w:r>
              <w:t xml:space="preserve">Séance 2 composantes de l’environnement international </w:t>
            </w:r>
          </w:p>
        </w:tc>
      </w:tr>
      <w:tr w:rsidR="00204F8C" w:rsidTr="005779EC">
        <w:tc>
          <w:tcPr>
            <w:tcW w:w="4606" w:type="dxa"/>
          </w:tcPr>
          <w:p w:rsidR="00204F8C" w:rsidRDefault="00204F8C" w:rsidP="005779EC">
            <w:r>
              <w:t>18/04 8h30-12h30 (30 mn de pause) 3.5 h</w:t>
            </w:r>
          </w:p>
        </w:tc>
        <w:tc>
          <w:tcPr>
            <w:tcW w:w="4606" w:type="dxa"/>
          </w:tcPr>
          <w:p w:rsidR="00204F8C" w:rsidRDefault="00204F8C" w:rsidP="005779EC">
            <w:r>
              <w:t>Séance 3 : techniques d’analyse de l’IBE</w:t>
            </w:r>
          </w:p>
        </w:tc>
      </w:tr>
      <w:tr w:rsidR="00204F8C" w:rsidTr="005779EC">
        <w:tc>
          <w:tcPr>
            <w:tcW w:w="4606" w:type="dxa"/>
          </w:tcPr>
          <w:p w:rsidR="00204F8C" w:rsidRDefault="00204F8C" w:rsidP="005779EC">
            <w:r>
              <w:t>18/04 14h00_17h00 3h</w:t>
            </w:r>
          </w:p>
        </w:tc>
        <w:tc>
          <w:tcPr>
            <w:tcW w:w="4606" w:type="dxa"/>
          </w:tcPr>
          <w:p w:rsidR="00204F8C" w:rsidRDefault="00204F8C" w:rsidP="005779EC">
            <w:r>
              <w:t>Séance 4 : étude de cas : étude de profitabilité d’une commande export</w:t>
            </w:r>
          </w:p>
        </w:tc>
      </w:tr>
      <w:tr w:rsidR="00204F8C" w:rsidTr="005779EC">
        <w:tc>
          <w:tcPr>
            <w:tcW w:w="4606" w:type="dxa"/>
          </w:tcPr>
          <w:p w:rsidR="00204F8C" w:rsidRDefault="00204F8C" w:rsidP="005779EC">
            <w:r>
              <w:t>19/04 8h30-13h00 (30 mn de pause) 4 h</w:t>
            </w:r>
          </w:p>
        </w:tc>
        <w:tc>
          <w:tcPr>
            <w:tcW w:w="4606" w:type="dxa"/>
          </w:tcPr>
          <w:p w:rsidR="00204F8C" w:rsidRDefault="00204F8C" w:rsidP="005779EC">
            <w:r>
              <w:t>Séance 5 : étude de cas : mesure d’attractivité d’un marché étranger</w:t>
            </w:r>
          </w:p>
        </w:tc>
      </w:tr>
      <w:tr w:rsidR="00204F8C" w:rsidTr="005779EC">
        <w:tc>
          <w:tcPr>
            <w:tcW w:w="4606" w:type="dxa"/>
          </w:tcPr>
          <w:p w:rsidR="00204F8C" w:rsidRDefault="00204F8C" w:rsidP="005779EC">
            <w:r>
              <w:t>21/04 8h30-12h30 (30 mn de pause) 3.5 h</w:t>
            </w:r>
          </w:p>
        </w:tc>
        <w:tc>
          <w:tcPr>
            <w:tcW w:w="4606" w:type="dxa"/>
          </w:tcPr>
          <w:p w:rsidR="00204F8C" w:rsidRDefault="00204F8C" w:rsidP="005779EC">
            <w:r>
              <w:t>Séance 6 : étude de cas : étude d’attractivité commerce électronique d’un marché étranger</w:t>
            </w:r>
          </w:p>
        </w:tc>
      </w:tr>
      <w:tr w:rsidR="00204F8C" w:rsidTr="005779EC">
        <w:tc>
          <w:tcPr>
            <w:tcW w:w="4606" w:type="dxa"/>
          </w:tcPr>
          <w:p w:rsidR="00204F8C" w:rsidRDefault="00204F8C" w:rsidP="005779EC">
            <w:r>
              <w:t xml:space="preserve">21/04 13h30-17h30 (30 mn de </w:t>
            </w:r>
            <w:proofErr w:type="gramStart"/>
            <w:r>
              <w:t>pause )</w:t>
            </w:r>
            <w:proofErr w:type="gramEnd"/>
            <w:r>
              <w:t xml:space="preserve"> 3.5 h</w:t>
            </w:r>
          </w:p>
        </w:tc>
        <w:tc>
          <w:tcPr>
            <w:tcW w:w="4606" w:type="dxa"/>
          </w:tcPr>
          <w:p w:rsidR="00204F8C" w:rsidRDefault="00204F8C" w:rsidP="005779EC">
            <w:r>
              <w:t xml:space="preserve">Séance 7 : consolidation </w:t>
            </w:r>
            <w:bookmarkStart w:id="0" w:name="_GoBack"/>
            <w:bookmarkEnd w:id="0"/>
          </w:p>
        </w:tc>
      </w:tr>
      <w:tr w:rsidR="00204F8C" w:rsidTr="005779EC">
        <w:tc>
          <w:tcPr>
            <w:tcW w:w="4606" w:type="dxa"/>
          </w:tcPr>
          <w:p w:rsidR="00204F8C" w:rsidRDefault="00204F8C" w:rsidP="005779EC">
            <w:r>
              <w:t>23/04 9h00-11h30</w:t>
            </w:r>
          </w:p>
        </w:tc>
        <w:tc>
          <w:tcPr>
            <w:tcW w:w="4606" w:type="dxa"/>
          </w:tcPr>
          <w:p w:rsidR="00204F8C" w:rsidRDefault="00204F8C" w:rsidP="005779EC">
            <w:r>
              <w:t>examen</w:t>
            </w:r>
          </w:p>
        </w:tc>
      </w:tr>
    </w:tbl>
    <w:p w:rsidR="00204F8C" w:rsidRDefault="00204F8C" w:rsidP="00204F8C">
      <w:r>
        <w:t xml:space="preserve"> Ceci fait un total de 24 h de cours et 2.5 h d’examen.</w:t>
      </w:r>
    </w:p>
    <w:p w:rsidR="00204F8C" w:rsidRDefault="00204F8C" w:rsidP="00204F8C"/>
    <w:p w:rsidR="00204F8C" w:rsidRDefault="00204F8C" w:rsidP="00204F8C">
      <w:r>
        <w:t>Planning cours IBE  2</w:t>
      </w:r>
      <w:r w:rsidRPr="005266B2">
        <w:rPr>
          <w:vertAlign w:val="superscript"/>
        </w:rPr>
        <w:t>nd</w:t>
      </w:r>
      <w:r>
        <w:t xml:space="preserve"> semestre</w:t>
      </w:r>
    </w:p>
    <w:tbl>
      <w:tblPr>
        <w:tblStyle w:val="Grilledutableau"/>
        <w:tblW w:w="0" w:type="auto"/>
        <w:tblLook w:val="04A0"/>
      </w:tblPr>
      <w:tblGrid>
        <w:gridCol w:w="4606"/>
        <w:gridCol w:w="4606"/>
      </w:tblGrid>
      <w:tr w:rsidR="00204F8C" w:rsidTr="005779EC">
        <w:tc>
          <w:tcPr>
            <w:tcW w:w="4606" w:type="dxa"/>
          </w:tcPr>
          <w:p w:rsidR="00204F8C" w:rsidRDefault="00204F8C" w:rsidP="005779EC">
            <w:r>
              <w:t>Date et horaire</w:t>
            </w:r>
          </w:p>
        </w:tc>
        <w:tc>
          <w:tcPr>
            <w:tcW w:w="4606" w:type="dxa"/>
          </w:tcPr>
          <w:p w:rsidR="00204F8C" w:rsidRDefault="00204F8C" w:rsidP="005779EC">
            <w:r>
              <w:t xml:space="preserve">Séance </w:t>
            </w:r>
          </w:p>
        </w:tc>
      </w:tr>
      <w:tr w:rsidR="00204F8C" w:rsidTr="005779EC">
        <w:tc>
          <w:tcPr>
            <w:tcW w:w="4606" w:type="dxa"/>
          </w:tcPr>
          <w:p w:rsidR="00204F8C" w:rsidRDefault="00204F8C" w:rsidP="005779EC">
            <w:r>
              <w:t>Lundi 14/04 : 13h00-17h00 (30 mn de pause) 3.5 h</w:t>
            </w:r>
          </w:p>
        </w:tc>
        <w:tc>
          <w:tcPr>
            <w:tcW w:w="4606" w:type="dxa"/>
          </w:tcPr>
          <w:p w:rsidR="00204F8C" w:rsidRDefault="00204F8C" w:rsidP="005779EC">
            <w:r>
              <w:t xml:space="preserve">Séance 1 introduction générale </w:t>
            </w:r>
          </w:p>
        </w:tc>
      </w:tr>
      <w:tr w:rsidR="00204F8C" w:rsidTr="005779EC">
        <w:tc>
          <w:tcPr>
            <w:tcW w:w="4606" w:type="dxa"/>
          </w:tcPr>
          <w:p w:rsidR="00204F8C" w:rsidRDefault="00204F8C" w:rsidP="005779EC">
            <w:r>
              <w:t xml:space="preserve">Mardi 15/04 : 8h30-12h30 (30 mn de pause) 3.5 h </w:t>
            </w:r>
          </w:p>
          <w:p w:rsidR="00204F8C" w:rsidRDefault="00204F8C" w:rsidP="005779EC">
            <w:r>
              <w:t>Mardi 15/04 : 13h30-17h00 (30 mn de pause) 3h</w:t>
            </w:r>
          </w:p>
        </w:tc>
        <w:tc>
          <w:tcPr>
            <w:tcW w:w="4606" w:type="dxa"/>
          </w:tcPr>
          <w:p w:rsidR="00204F8C" w:rsidRDefault="00204F8C" w:rsidP="005779EC">
            <w:r>
              <w:t xml:space="preserve">Séance 2 composantes de l’environnement international </w:t>
            </w:r>
          </w:p>
          <w:p w:rsidR="00204F8C" w:rsidRDefault="00204F8C" w:rsidP="005779EC">
            <w:r>
              <w:t>Séance 3 : techniques d’analyse de l’IBE</w:t>
            </w:r>
          </w:p>
        </w:tc>
      </w:tr>
      <w:tr w:rsidR="00204F8C" w:rsidTr="005779EC">
        <w:tc>
          <w:tcPr>
            <w:tcW w:w="4606" w:type="dxa"/>
          </w:tcPr>
          <w:p w:rsidR="00204F8C" w:rsidRDefault="00204F8C" w:rsidP="005779EC">
            <w:r>
              <w:t>Mercredi 16/04 : 8h30-13h00 (30 mn de pause) 4 h</w:t>
            </w:r>
          </w:p>
        </w:tc>
        <w:tc>
          <w:tcPr>
            <w:tcW w:w="4606" w:type="dxa"/>
          </w:tcPr>
          <w:p w:rsidR="00204F8C" w:rsidRDefault="00204F8C" w:rsidP="005779EC">
            <w:r>
              <w:t>Séance 4 : étude de cas : étude de profitabilité d’une commande export</w:t>
            </w:r>
          </w:p>
          <w:p w:rsidR="00204F8C" w:rsidRDefault="00204F8C" w:rsidP="005779EC"/>
        </w:tc>
      </w:tr>
      <w:tr w:rsidR="00204F8C" w:rsidTr="005779EC">
        <w:tc>
          <w:tcPr>
            <w:tcW w:w="4606" w:type="dxa"/>
          </w:tcPr>
          <w:p w:rsidR="00204F8C" w:rsidRDefault="00204F8C" w:rsidP="005779EC">
            <w:r>
              <w:t xml:space="preserve">Jeudi 17/04 : 8h30-12h30 (30 mn de pause) 3.5 h </w:t>
            </w:r>
          </w:p>
          <w:p w:rsidR="00204F8C" w:rsidRDefault="00204F8C" w:rsidP="005779EC"/>
          <w:p w:rsidR="00204F8C" w:rsidRDefault="00204F8C" w:rsidP="005779EC">
            <w:r>
              <w:t>Jeudi 17/04 : 13h30-17h00 (30 mn de pause) 3h</w:t>
            </w:r>
          </w:p>
        </w:tc>
        <w:tc>
          <w:tcPr>
            <w:tcW w:w="4606" w:type="dxa"/>
          </w:tcPr>
          <w:p w:rsidR="00204F8C" w:rsidRDefault="00204F8C" w:rsidP="005779EC">
            <w:r>
              <w:t>Séance 5 : étude de cas : mesure d’attractivité d’un marché étranger</w:t>
            </w:r>
          </w:p>
          <w:p w:rsidR="00204F8C" w:rsidRDefault="00204F8C" w:rsidP="005779EC">
            <w:r>
              <w:t>Séance 6 : étude de cas : étude d’attractivité commerce électronique d’un marché étranger</w:t>
            </w:r>
          </w:p>
        </w:tc>
      </w:tr>
      <w:tr w:rsidR="00204F8C" w:rsidTr="005779EC">
        <w:tc>
          <w:tcPr>
            <w:tcW w:w="4606" w:type="dxa"/>
          </w:tcPr>
          <w:p w:rsidR="00204F8C" w:rsidRDefault="00204F8C" w:rsidP="005779EC">
            <w:r>
              <w:t>Vendredi 18/04 8h30-12h00 (30 mn de pause) 3.5 h</w:t>
            </w:r>
          </w:p>
        </w:tc>
        <w:tc>
          <w:tcPr>
            <w:tcW w:w="4606" w:type="dxa"/>
          </w:tcPr>
          <w:p w:rsidR="00204F8C" w:rsidRDefault="00204F8C" w:rsidP="005779EC">
            <w:r>
              <w:t>Séance 7 : consolidation</w:t>
            </w:r>
          </w:p>
        </w:tc>
      </w:tr>
      <w:tr w:rsidR="00204F8C" w:rsidTr="005779EC">
        <w:tc>
          <w:tcPr>
            <w:tcW w:w="4606" w:type="dxa"/>
          </w:tcPr>
          <w:p w:rsidR="00204F8C" w:rsidRDefault="00204F8C" w:rsidP="005779EC">
            <w:r>
              <w:t>Samedi 19 ou Lundi 21/04</w:t>
            </w:r>
          </w:p>
        </w:tc>
        <w:tc>
          <w:tcPr>
            <w:tcW w:w="4606" w:type="dxa"/>
          </w:tcPr>
          <w:p w:rsidR="00204F8C" w:rsidRDefault="00204F8C" w:rsidP="005779EC">
            <w:r>
              <w:t>examen</w:t>
            </w:r>
          </w:p>
        </w:tc>
      </w:tr>
    </w:tbl>
    <w:p w:rsidR="00204F8C" w:rsidRDefault="00204F8C" w:rsidP="00657F5A">
      <w:r>
        <w:t xml:space="preserve"> </w:t>
      </w:r>
    </w:p>
    <w:p w:rsidR="00EA7D05" w:rsidRDefault="00EA7D05" w:rsidP="00EA7D05">
      <w:pPr>
        <w:jc w:val="both"/>
      </w:pPr>
    </w:p>
    <w:sectPr w:rsidR="00EA7D05" w:rsidSect="007C5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auto"/>
    <w:pitch w:val="variable"/>
    <w:sig w:usb0="00008000" w:usb1="00000000" w:usb2="00000000" w:usb3="00000000" w:csb0="00000000" w:csb1="00000000"/>
  </w:font>
  <w:font w:name="TimesNewRomanPS-Bold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5508"/>
    <w:multiLevelType w:val="multilevel"/>
    <w:tmpl w:val="D270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D437A"/>
    <w:multiLevelType w:val="hybridMultilevel"/>
    <w:tmpl w:val="0F848E68"/>
    <w:lvl w:ilvl="0" w:tplc="E49833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0AD529F"/>
    <w:multiLevelType w:val="hybridMultilevel"/>
    <w:tmpl w:val="D97AD300"/>
    <w:lvl w:ilvl="0" w:tplc="70468F24">
      <w:start w:val="3"/>
      <w:numFmt w:val="decimal"/>
      <w:lvlText w:val="%1-"/>
      <w:lvlJc w:val="left"/>
      <w:pPr>
        <w:ind w:left="720" w:hanging="360"/>
      </w:pPr>
      <w:rPr>
        <w:rFonts w:hint="default"/>
        <w:b/>
        <w:color w:val="0000FF"/>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1866EB9"/>
    <w:multiLevelType w:val="hybridMultilevel"/>
    <w:tmpl w:val="868E94DE"/>
    <w:lvl w:ilvl="0" w:tplc="5BB0E9F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26E37"/>
    <w:rsid w:val="00044D4C"/>
    <w:rsid w:val="00052774"/>
    <w:rsid w:val="00086EFD"/>
    <w:rsid w:val="00123D39"/>
    <w:rsid w:val="00126CC9"/>
    <w:rsid w:val="001646EC"/>
    <w:rsid w:val="00176649"/>
    <w:rsid w:val="00204F8C"/>
    <w:rsid w:val="002F1217"/>
    <w:rsid w:val="00340E6F"/>
    <w:rsid w:val="00385EFF"/>
    <w:rsid w:val="003A7745"/>
    <w:rsid w:val="004403AB"/>
    <w:rsid w:val="005B7236"/>
    <w:rsid w:val="00657F5A"/>
    <w:rsid w:val="00661BA9"/>
    <w:rsid w:val="007C5D5D"/>
    <w:rsid w:val="00810FBA"/>
    <w:rsid w:val="008532FC"/>
    <w:rsid w:val="00A762D2"/>
    <w:rsid w:val="00A81061"/>
    <w:rsid w:val="00BB468E"/>
    <w:rsid w:val="00C31BC8"/>
    <w:rsid w:val="00C67D66"/>
    <w:rsid w:val="00CB675A"/>
    <w:rsid w:val="00DA5EE0"/>
    <w:rsid w:val="00DE0BA7"/>
    <w:rsid w:val="00DF09D7"/>
    <w:rsid w:val="00E26E37"/>
    <w:rsid w:val="00E379B4"/>
    <w:rsid w:val="00E52DCA"/>
    <w:rsid w:val="00EA7D05"/>
    <w:rsid w:val="00EE2678"/>
    <w:rsid w:val="00F62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37"/>
    <w:pPr>
      <w:spacing w:after="0" w:line="240" w:lineRule="auto"/>
    </w:pPr>
    <w:rPr>
      <w:rFonts w:ascii="Times New Roman" w:eastAsia="Times New Roman" w:hAnsi="Times New Roman" w:cs="Times New Roman"/>
      <w:sz w:val="24"/>
      <w:szCs w:val="24"/>
      <w:lang w:eastAsia="fr-FR" w:bidi="ar-TN"/>
    </w:rPr>
  </w:style>
  <w:style w:type="paragraph" w:styleId="Titre1">
    <w:name w:val="heading 1"/>
    <w:basedOn w:val="Normal"/>
    <w:next w:val="Normal"/>
    <w:link w:val="Titre1Car"/>
    <w:uiPriority w:val="99"/>
    <w:qFormat/>
    <w:rsid w:val="00DA5EE0"/>
    <w:pPr>
      <w:keepNext/>
      <w:bidi/>
      <w:jc w:val="both"/>
      <w:outlineLvl w:val="0"/>
    </w:pPr>
    <w:rPr>
      <w:b/>
      <w:bCs/>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E37"/>
    <w:pPr>
      <w:spacing w:after="200" w:line="276" w:lineRule="auto"/>
      <w:ind w:left="720"/>
      <w:contextualSpacing/>
    </w:pPr>
    <w:rPr>
      <w:rFonts w:ascii="Rockwell" w:hAnsi="Rockwell"/>
      <w:sz w:val="22"/>
      <w:szCs w:val="22"/>
      <w:lang w:eastAsia="en-US" w:bidi="en-US"/>
    </w:rPr>
  </w:style>
  <w:style w:type="character" w:styleId="lev">
    <w:name w:val="Strong"/>
    <w:uiPriority w:val="22"/>
    <w:qFormat/>
    <w:rsid w:val="00E26E37"/>
    <w:rPr>
      <w:b/>
      <w:bCs/>
    </w:rPr>
  </w:style>
  <w:style w:type="paragraph" w:customStyle="1" w:styleId="texteifgp2">
    <w:name w:val="texteifgp2"/>
    <w:basedOn w:val="Normal"/>
    <w:rsid w:val="00E26E37"/>
    <w:pPr>
      <w:spacing w:before="100" w:beforeAutospacing="1" w:after="100" w:afterAutospacing="1"/>
    </w:pPr>
    <w:rPr>
      <w:lang w:bidi="ar-SA"/>
    </w:rPr>
  </w:style>
  <w:style w:type="paragraph" w:customStyle="1" w:styleId="Default">
    <w:name w:val="Default"/>
    <w:rsid w:val="00E26E3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souligner1">
    <w:name w:val="souligner1"/>
    <w:basedOn w:val="Policepardfaut"/>
    <w:rsid w:val="00E26E37"/>
    <w:rPr>
      <w:u w:val="single"/>
    </w:rPr>
  </w:style>
  <w:style w:type="paragraph" w:customStyle="1" w:styleId="Contenudetableau">
    <w:name w:val="Contenu de tableau"/>
    <w:basedOn w:val="Normal"/>
    <w:rsid w:val="004403AB"/>
    <w:pPr>
      <w:widowControl w:val="0"/>
      <w:suppressLineNumbers/>
      <w:suppressAutoHyphens/>
    </w:pPr>
    <w:rPr>
      <w:rFonts w:eastAsia="SimSun" w:cs="Mangal"/>
      <w:kern w:val="1"/>
      <w:lang w:eastAsia="hi-IN" w:bidi="hi-IN"/>
    </w:rPr>
  </w:style>
  <w:style w:type="character" w:customStyle="1" w:styleId="Titre1Car">
    <w:name w:val="Titre 1 Car"/>
    <w:basedOn w:val="Policepardfaut"/>
    <w:link w:val="Titre1"/>
    <w:uiPriority w:val="99"/>
    <w:rsid w:val="00DA5EE0"/>
    <w:rPr>
      <w:rFonts w:ascii="Times New Roman" w:eastAsia="Times New Roman" w:hAnsi="Times New Roman" w:cs="Times New Roman"/>
      <w:b/>
      <w:bCs/>
      <w:sz w:val="24"/>
      <w:szCs w:val="28"/>
      <w:u w:val="single"/>
      <w:lang w:eastAsia="fr-FR" w:bidi="ar-TN"/>
    </w:rPr>
  </w:style>
  <w:style w:type="table" w:styleId="Grilledutableau">
    <w:name w:val="Table Grid"/>
    <w:basedOn w:val="TableauNormal"/>
    <w:uiPriority w:val="59"/>
    <w:rsid w:val="00204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6173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benammar</dc:creator>
  <cp:lastModifiedBy>esce</cp:lastModifiedBy>
  <cp:revision>2</cp:revision>
  <dcterms:created xsi:type="dcterms:W3CDTF">2014-04-14T13:27:00Z</dcterms:created>
  <dcterms:modified xsi:type="dcterms:W3CDTF">2014-04-14T13:27:00Z</dcterms:modified>
</cp:coreProperties>
</file>