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37" w:rsidRDefault="00E26E37" w:rsidP="00E26E37">
      <w:pPr>
        <w:autoSpaceDE w:val="0"/>
        <w:autoSpaceDN w:val="0"/>
        <w:adjustRightInd w:val="0"/>
        <w:jc w:val="center"/>
        <w:rPr>
          <w:b/>
          <w:bCs/>
          <w:color w:val="810000"/>
          <w:sz w:val="32"/>
          <w:szCs w:val="32"/>
          <w:lang w:bidi="ar-SA"/>
        </w:rPr>
      </w:pPr>
      <w:r>
        <w:rPr>
          <w:b/>
          <w:bCs/>
          <w:color w:val="810000"/>
          <w:sz w:val="32"/>
          <w:szCs w:val="32"/>
          <w:lang w:bidi="ar-SA"/>
        </w:rPr>
        <w:t xml:space="preserve">Fiche descriptive d’une unité d’enseignement (UE) </w:t>
      </w:r>
    </w:p>
    <w:p w:rsidR="00E26E37" w:rsidRPr="00CE7B51" w:rsidRDefault="00E26E37" w:rsidP="00E26E37">
      <w:pPr>
        <w:autoSpaceDE w:val="0"/>
        <w:autoSpaceDN w:val="0"/>
        <w:adjustRightInd w:val="0"/>
        <w:jc w:val="center"/>
        <w:rPr>
          <w:b/>
          <w:bCs/>
          <w:color w:val="810000"/>
          <w:sz w:val="32"/>
          <w:szCs w:val="32"/>
          <w:lang w:bidi="ar-SA"/>
        </w:rPr>
      </w:pPr>
      <w:proofErr w:type="gramStart"/>
      <w:r>
        <w:rPr>
          <w:b/>
          <w:bCs/>
          <w:color w:val="810000"/>
          <w:sz w:val="28"/>
          <w:szCs w:val="28"/>
          <w:lang w:bidi="ar-SA"/>
        </w:rPr>
        <w:t>et</w:t>
      </w:r>
      <w:proofErr w:type="gramEnd"/>
      <w:r>
        <w:rPr>
          <w:b/>
          <w:bCs/>
          <w:color w:val="810000"/>
          <w:sz w:val="28"/>
          <w:szCs w:val="28"/>
          <w:lang w:bidi="ar-SA"/>
        </w:rPr>
        <w:t xml:space="preserve"> de ses éléments constitutifs (ECUE)</w:t>
      </w:r>
    </w:p>
    <w:p w:rsidR="00E26E37" w:rsidRDefault="00E26E37" w:rsidP="00E26E37">
      <w:pPr>
        <w:autoSpaceDE w:val="0"/>
        <w:autoSpaceDN w:val="0"/>
        <w:adjustRightInd w:val="0"/>
        <w:jc w:val="center"/>
        <w:rPr>
          <w:b/>
          <w:bCs/>
          <w:color w:val="000000"/>
          <w:sz w:val="28"/>
          <w:szCs w:val="28"/>
          <w:lang w:bidi="ar-SA"/>
        </w:rPr>
      </w:pP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FF"/>
          <w:sz w:val="28"/>
          <w:szCs w:val="28"/>
          <w:lang w:bidi="ar-SA"/>
        </w:rPr>
      </w:pPr>
      <w:r>
        <w:rPr>
          <w:b/>
          <w:bCs/>
          <w:color w:val="0000FF"/>
          <w:sz w:val="28"/>
          <w:szCs w:val="28"/>
          <w:lang w:bidi="ar-SA"/>
        </w:rPr>
        <w:t>Intitulé de l’UE</w:t>
      </w:r>
    </w:p>
    <w:p w:rsidR="008532FC" w:rsidRDefault="008532FC" w:rsidP="00E26E37">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FF"/>
          <w:sz w:val="28"/>
          <w:szCs w:val="28"/>
          <w:lang w:bidi="ar-SA"/>
        </w:rPr>
      </w:pPr>
      <w:r w:rsidRPr="008532FC">
        <w:rPr>
          <w:b/>
          <w:bCs/>
          <w:color w:val="0000FF"/>
          <w:sz w:val="28"/>
          <w:szCs w:val="28"/>
          <w:lang w:bidi="ar-SA"/>
        </w:rPr>
        <w:t>Economie Numérique</w:t>
      </w:r>
    </w:p>
    <w:p w:rsidR="00E26E37" w:rsidRDefault="00E26E37" w:rsidP="00E26E37">
      <w:pPr>
        <w:autoSpaceDE w:val="0"/>
        <w:autoSpaceDN w:val="0"/>
        <w:adjustRightInd w:val="0"/>
        <w:jc w:val="center"/>
        <w:rPr>
          <w:b/>
          <w:bCs/>
          <w:color w:val="000000"/>
          <w:sz w:val="28"/>
          <w:szCs w:val="28"/>
          <w:bdr w:val="single" w:sz="4" w:space="0" w:color="auto"/>
          <w:lang w:bidi="ar-SA"/>
        </w:rPr>
      </w:pPr>
    </w:p>
    <w:p w:rsidR="00E26E37" w:rsidRPr="00CE7B51" w:rsidRDefault="00E26E37" w:rsidP="001A61E6">
      <w:pPr>
        <w:autoSpaceDE w:val="0"/>
        <w:autoSpaceDN w:val="0"/>
        <w:adjustRightInd w:val="0"/>
        <w:jc w:val="center"/>
        <w:rPr>
          <w:b/>
          <w:bCs/>
          <w:color w:val="000000"/>
          <w:sz w:val="28"/>
          <w:szCs w:val="28"/>
          <w:bdr w:val="single" w:sz="4" w:space="0" w:color="auto"/>
          <w:lang w:bidi="ar-SA"/>
        </w:rPr>
      </w:pPr>
      <w:r w:rsidRPr="00CE7B51">
        <w:rPr>
          <w:b/>
          <w:bCs/>
          <w:color w:val="000000"/>
          <w:sz w:val="28"/>
          <w:szCs w:val="28"/>
          <w:bdr w:val="single" w:sz="4" w:space="0" w:color="auto"/>
          <w:lang w:bidi="ar-SA"/>
        </w:rPr>
        <w:t>Nombre de crédit</w:t>
      </w:r>
      <w:r w:rsidR="008532FC">
        <w:rPr>
          <w:b/>
          <w:bCs/>
          <w:color w:val="000000"/>
          <w:sz w:val="28"/>
          <w:szCs w:val="28"/>
          <w:bdr w:val="single" w:sz="4" w:space="0" w:color="auto"/>
          <w:lang w:bidi="ar-SA"/>
        </w:rPr>
        <w:t>s…</w:t>
      </w:r>
      <w:r w:rsidR="001A61E6">
        <w:rPr>
          <w:b/>
          <w:bCs/>
          <w:color w:val="000000"/>
          <w:sz w:val="28"/>
          <w:szCs w:val="28"/>
          <w:bdr w:val="single" w:sz="4" w:space="0" w:color="auto"/>
          <w:lang w:bidi="ar-SA"/>
        </w:rPr>
        <w:t>7</w:t>
      </w:r>
      <w:r>
        <w:rPr>
          <w:b/>
          <w:bCs/>
          <w:color w:val="000000"/>
          <w:sz w:val="28"/>
          <w:szCs w:val="28"/>
          <w:bdr w:val="single" w:sz="4" w:space="0" w:color="auto"/>
          <w:lang w:bidi="ar-SA"/>
        </w:rPr>
        <w:t>…</w:t>
      </w:r>
    </w:p>
    <w:p w:rsidR="00E26E37" w:rsidRDefault="00E26E37" w:rsidP="008532FC">
      <w:pPr>
        <w:autoSpaceDE w:val="0"/>
        <w:autoSpaceDN w:val="0"/>
        <w:adjustRightInd w:val="0"/>
        <w:jc w:val="center"/>
        <w:rPr>
          <w:b/>
          <w:bCs/>
          <w:color w:val="000000"/>
          <w:sz w:val="28"/>
          <w:szCs w:val="28"/>
          <w:bdr w:val="single" w:sz="4" w:space="0" w:color="auto"/>
          <w:lang w:bidi="ar-SA"/>
        </w:rPr>
      </w:pPr>
      <w:r w:rsidRPr="00CE7B51">
        <w:rPr>
          <w:b/>
          <w:bCs/>
          <w:color w:val="000000"/>
          <w:sz w:val="28"/>
          <w:szCs w:val="28"/>
          <w:bdr w:val="single" w:sz="4" w:space="0" w:color="auto"/>
          <w:lang w:bidi="ar-SA"/>
        </w:rPr>
        <w:t>Code UE</w:t>
      </w:r>
      <w:r>
        <w:rPr>
          <w:b/>
          <w:bCs/>
          <w:color w:val="000000"/>
          <w:sz w:val="28"/>
          <w:szCs w:val="28"/>
          <w:bdr w:val="single" w:sz="4" w:space="0" w:color="auto"/>
          <w:lang w:bidi="ar-SA"/>
        </w:rPr>
        <w:t>…….</w:t>
      </w:r>
      <w:proofErr w:type="gramStart"/>
      <w:r w:rsidRPr="004403AB">
        <w:rPr>
          <w:b/>
          <w:bCs/>
          <w:color w:val="FF0000"/>
          <w:sz w:val="28"/>
          <w:szCs w:val="28"/>
          <w:bdr w:val="single" w:sz="4" w:space="0" w:color="auto"/>
          <w:lang w:bidi="ar-SA"/>
        </w:rPr>
        <w:t>UE</w:t>
      </w:r>
      <w:r w:rsidR="00176649">
        <w:rPr>
          <w:b/>
          <w:bCs/>
          <w:color w:val="FF0000"/>
          <w:sz w:val="28"/>
          <w:szCs w:val="28"/>
          <w:bdr w:val="single" w:sz="4" w:space="0" w:color="auto"/>
          <w:lang w:bidi="ar-SA"/>
        </w:rPr>
        <w:t>2</w:t>
      </w:r>
      <w:r w:rsidR="008532FC">
        <w:rPr>
          <w:b/>
          <w:bCs/>
          <w:color w:val="FF0000"/>
          <w:sz w:val="28"/>
          <w:szCs w:val="28"/>
          <w:bdr w:val="single" w:sz="4" w:space="0" w:color="auto"/>
          <w:lang w:bidi="ar-SA"/>
        </w:rPr>
        <w:t>3</w:t>
      </w:r>
      <w:r>
        <w:rPr>
          <w:b/>
          <w:bCs/>
          <w:color w:val="000000"/>
          <w:sz w:val="28"/>
          <w:szCs w:val="28"/>
          <w:bdr w:val="single" w:sz="4" w:space="0" w:color="auto"/>
          <w:lang w:bidi="ar-SA"/>
        </w:rPr>
        <w:t>.……….</w:t>
      </w:r>
      <w:proofErr w:type="gramEnd"/>
    </w:p>
    <w:p w:rsidR="00E26E37" w:rsidRDefault="00E26E37" w:rsidP="00E26E37">
      <w:pPr>
        <w:pBdr>
          <w:top w:val="single" w:sz="4" w:space="0" w:color="auto"/>
          <w:left w:val="single" w:sz="4" w:space="4" w:color="auto"/>
          <w:bottom w:val="single" w:sz="4" w:space="1" w:color="auto"/>
          <w:right w:val="single" w:sz="4" w:space="4" w:color="auto"/>
        </w:pBdr>
        <w:autoSpaceDE w:val="0"/>
        <w:autoSpaceDN w:val="0"/>
        <w:adjustRightInd w:val="0"/>
        <w:jc w:val="both"/>
        <w:rPr>
          <w:sz w:val="20"/>
          <w:szCs w:val="20"/>
          <w:lang w:bidi="ar-SA"/>
        </w:rPr>
      </w:pPr>
      <w:r>
        <w:rPr>
          <w:b/>
          <w:bCs/>
          <w:lang w:bidi="ar-SA"/>
        </w:rPr>
        <w:t xml:space="preserve">Université : </w:t>
      </w:r>
      <w:r w:rsidRPr="00BF429F">
        <w:rPr>
          <w:b/>
          <w:bCs/>
          <w:color w:val="0000FF"/>
          <w:lang w:bidi="ar-SA"/>
        </w:rPr>
        <w:t xml:space="preserve">Université de </w:t>
      </w:r>
      <w:proofErr w:type="spellStart"/>
      <w:r>
        <w:rPr>
          <w:b/>
          <w:bCs/>
          <w:color w:val="0000FF"/>
          <w:lang w:bidi="ar-SA"/>
        </w:rPr>
        <w:t>Manouba</w:t>
      </w:r>
      <w:proofErr w:type="spellEnd"/>
      <w:r>
        <w:rPr>
          <w:b/>
          <w:bCs/>
          <w:lang w:bidi="ar-SA"/>
        </w:rPr>
        <w:t xml:space="preserve"> ……Etablissement : ESEN </w:t>
      </w:r>
    </w:p>
    <w:p w:rsidR="00E26E37" w:rsidRDefault="00E26E37" w:rsidP="00E26E37">
      <w:pPr>
        <w:autoSpaceDE w:val="0"/>
        <w:autoSpaceDN w:val="0"/>
        <w:adjustRightInd w:val="0"/>
        <w:rPr>
          <w:b/>
          <w:bCs/>
          <w:lang w:bidi="ar-SA"/>
        </w:rPr>
      </w:pPr>
    </w:p>
    <w:tbl>
      <w:tblPr>
        <w:tblW w:w="9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2523"/>
      </w:tblGrid>
      <w:tr w:rsidR="00E26E37" w:rsidRPr="00404595" w:rsidTr="00CD0AE9">
        <w:tc>
          <w:tcPr>
            <w:tcW w:w="7338" w:type="dxa"/>
            <w:tcBorders>
              <w:right w:val="single" w:sz="4" w:space="0" w:color="auto"/>
            </w:tcBorders>
          </w:tcPr>
          <w:p w:rsidR="00E26E37" w:rsidRPr="00404595" w:rsidRDefault="00E26E37" w:rsidP="0076444E">
            <w:pPr>
              <w:autoSpaceDE w:val="0"/>
              <w:autoSpaceDN w:val="0"/>
              <w:adjustRightInd w:val="0"/>
              <w:rPr>
                <w:b/>
                <w:bCs/>
                <w:lang w:bidi="ar-SA"/>
              </w:rPr>
            </w:pPr>
            <w:r w:rsidRPr="00404595">
              <w:rPr>
                <w:b/>
                <w:bCs/>
                <w:lang w:bidi="ar-SA"/>
              </w:rPr>
              <w:t xml:space="preserve">Domaine de formation : </w:t>
            </w:r>
            <w:r w:rsidR="0076444E">
              <w:rPr>
                <w:b/>
                <w:bCs/>
                <w:color w:val="0000FF"/>
                <w:lang w:bidi="ar-SA"/>
              </w:rPr>
              <w:t>Sciences et technologies</w:t>
            </w:r>
          </w:p>
        </w:tc>
        <w:tc>
          <w:tcPr>
            <w:tcW w:w="2523" w:type="dxa"/>
            <w:tcBorders>
              <w:left w:val="single" w:sz="4" w:space="0" w:color="auto"/>
            </w:tcBorders>
          </w:tcPr>
          <w:p w:rsidR="00E26E37" w:rsidRPr="00404595" w:rsidRDefault="00E26E37" w:rsidP="0076444E">
            <w:pPr>
              <w:autoSpaceDE w:val="0"/>
              <w:autoSpaceDN w:val="0"/>
              <w:adjustRightInd w:val="0"/>
              <w:rPr>
                <w:b/>
                <w:bCs/>
                <w:lang w:bidi="ar-SA"/>
              </w:rPr>
            </w:pPr>
            <w:r w:rsidRPr="00404595">
              <w:rPr>
                <w:b/>
                <w:bCs/>
                <w:lang w:bidi="ar-SA"/>
              </w:rPr>
              <w:t>Mention :</w:t>
            </w:r>
            <w:r>
              <w:rPr>
                <w:b/>
                <w:bCs/>
                <w:lang w:bidi="ar-SA"/>
              </w:rPr>
              <w:t xml:space="preserve"> </w:t>
            </w:r>
            <w:r w:rsidR="0076444E">
              <w:rPr>
                <w:b/>
                <w:bCs/>
                <w:lang w:bidi="ar-SA"/>
              </w:rPr>
              <w:t>IAG</w:t>
            </w:r>
          </w:p>
        </w:tc>
      </w:tr>
      <w:tr w:rsidR="00E26E37" w:rsidRPr="00404595" w:rsidTr="00CD0AE9">
        <w:tc>
          <w:tcPr>
            <w:tcW w:w="7338" w:type="dxa"/>
            <w:tcBorders>
              <w:right w:val="single" w:sz="4" w:space="0" w:color="auto"/>
            </w:tcBorders>
          </w:tcPr>
          <w:p w:rsidR="00E26E37" w:rsidRPr="00404595" w:rsidRDefault="00E26E37" w:rsidP="00CD0AE9">
            <w:pPr>
              <w:autoSpaceDE w:val="0"/>
              <w:autoSpaceDN w:val="0"/>
              <w:adjustRightInd w:val="0"/>
              <w:rPr>
                <w:b/>
                <w:bCs/>
                <w:lang w:bidi="ar-SA"/>
              </w:rPr>
            </w:pPr>
            <w:r w:rsidRPr="00404595">
              <w:rPr>
                <w:b/>
                <w:bCs/>
                <w:lang w:bidi="ar-SA"/>
              </w:rPr>
              <w:t>Diplôme et Parcours</w:t>
            </w:r>
          </w:p>
          <w:p w:rsidR="00E26E37" w:rsidRPr="00404595" w:rsidRDefault="00E26E37" w:rsidP="0076444E">
            <w:pPr>
              <w:autoSpaceDE w:val="0"/>
              <w:autoSpaceDN w:val="0"/>
              <w:adjustRightInd w:val="0"/>
              <w:rPr>
                <w:b/>
                <w:bCs/>
                <w:lang w:bidi="ar-SA"/>
              </w:rPr>
            </w:pPr>
            <w:r>
              <w:rPr>
                <w:b/>
                <w:bCs/>
                <w:color w:val="32519E"/>
                <w:lang w:bidi="ar-SA"/>
              </w:rPr>
              <w:t>Mastère</w:t>
            </w:r>
            <w:r w:rsidRPr="00404595">
              <w:rPr>
                <w:b/>
                <w:bCs/>
                <w:color w:val="32519E"/>
                <w:lang w:bidi="ar-SA"/>
              </w:rPr>
              <w:t xml:space="preserve"> Professionnel</w:t>
            </w:r>
            <w:r w:rsidRPr="00404595">
              <w:rPr>
                <w:b/>
                <w:bCs/>
                <w:lang w:bidi="ar-SA"/>
              </w:rPr>
              <w:t xml:space="preserve"> ……Parcours : </w:t>
            </w:r>
            <w:r w:rsidR="0076444E">
              <w:rPr>
                <w:b/>
                <w:bCs/>
                <w:lang w:bidi="ar-SA"/>
              </w:rPr>
              <w:t>Commerce Electronique</w:t>
            </w:r>
          </w:p>
          <w:p w:rsidR="00E26E37" w:rsidRPr="00404595" w:rsidRDefault="00E26E37" w:rsidP="00CD0AE9">
            <w:pPr>
              <w:autoSpaceDE w:val="0"/>
              <w:autoSpaceDN w:val="0"/>
              <w:adjustRightInd w:val="0"/>
              <w:rPr>
                <w:b/>
                <w:bCs/>
                <w:lang w:bidi="ar-SA"/>
              </w:rPr>
            </w:pPr>
          </w:p>
        </w:tc>
        <w:tc>
          <w:tcPr>
            <w:tcW w:w="2523" w:type="dxa"/>
            <w:tcBorders>
              <w:left w:val="single" w:sz="4" w:space="0" w:color="auto"/>
            </w:tcBorders>
          </w:tcPr>
          <w:p w:rsidR="00E26E37" w:rsidRPr="00404595" w:rsidRDefault="00E26E37" w:rsidP="002F1217">
            <w:pPr>
              <w:autoSpaceDE w:val="0"/>
              <w:autoSpaceDN w:val="0"/>
              <w:adjustRightInd w:val="0"/>
              <w:rPr>
                <w:b/>
                <w:bCs/>
                <w:lang w:bidi="ar-SA"/>
              </w:rPr>
            </w:pPr>
            <w:r w:rsidRPr="00404595">
              <w:rPr>
                <w:b/>
                <w:bCs/>
                <w:lang w:bidi="ar-SA"/>
              </w:rPr>
              <w:t>Semestre…</w:t>
            </w:r>
            <w:r w:rsidRPr="00404595">
              <w:rPr>
                <w:b/>
                <w:bCs/>
                <w:color w:val="32519E"/>
                <w:lang w:bidi="ar-SA"/>
              </w:rPr>
              <w:t>S</w:t>
            </w:r>
            <w:r w:rsidR="002F1217">
              <w:rPr>
                <w:b/>
                <w:bCs/>
                <w:color w:val="32519E"/>
                <w:lang w:bidi="ar-SA"/>
              </w:rPr>
              <w:t>2</w:t>
            </w:r>
          </w:p>
          <w:p w:rsidR="00E26E37" w:rsidRPr="00404595" w:rsidRDefault="00E26E37" w:rsidP="00CD0AE9">
            <w:pPr>
              <w:autoSpaceDE w:val="0"/>
              <w:autoSpaceDN w:val="0"/>
              <w:adjustRightInd w:val="0"/>
              <w:rPr>
                <w:b/>
                <w:bCs/>
                <w:lang w:bidi="ar-SA"/>
              </w:rPr>
            </w:pPr>
          </w:p>
        </w:tc>
      </w:tr>
    </w:tbl>
    <w:p w:rsidR="00E26E37" w:rsidRDefault="00E26E37" w:rsidP="00E26E37">
      <w:pPr>
        <w:autoSpaceDE w:val="0"/>
        <w:autoSpaceDN w:val="0"/>
        <w:adjustRightInd w:val="0"/>
        <w:jc w:val="both"/>
        <w:rPr>
          <w:b/>
          <w:bCs/>
          <w:lang w:bidi="ar-SA"/>
        </w:rPr>
      </w:pPr>
    </w:p>
    <w:p w:rsidR="00E26E37" w:rsidRPr="00BB7367" w:rsidRDefault="00E26E37" w:rsidP="00E26E37">
      <w:pPr>
        <w:pStyle w:val="Paragraphedeliste"/>
        <w:numPr>
          <w:ilvl w:val="0"/>
          <w:numId w:val="1"/>
        </w:numPr>
        <w:autoSpaceDE w:val="0"/>
        <w:autoSpaceDN w:val="0"/>
        <w:adjustRightInd w:val="0"/>
        <w:spacing w:after="0" w:line="240" w:lineRule="auto"/>
        <w:rPr>
          <w:rFonts w:ascii="Times New Roman" w:hAnsi="Times New Roman"/>
          <w:b/>
          <w:bCs/>
          <w:color w:val="0000FF"/>
          <w:sz w:val="24"/>
          <w:szCs w:val="24"/>
          <w:lang w:bidi="ar-SA"/>
        </w:rPr>
      </w:pPr>
      <w:r w:rsidRPr="00BB7367">
        <w:rPr>
          <w:rFonts w:ascii="Times New Roman" w:hAnsi="Times New Roman"/>
          <w:b/>
          <w:bCs/>
          <w:color w:val="0000FF"/>
          <w:sz w:val="24"/>
          <w:szCs w:val="24"/>
          <w:lang w:bidi="ar-SA"/>
        </w:rPr>
        <w:t xml:space="preserve">Objectifs de l’UE </w:t>
      </w:r>
      <w:r w:rsidRPr="00BB7367">
        <w:rPr>
          <w:rFonts w:ascii="Times New Roman" w:hAnsi="Times New Roman"/>
          <w:color w:val="0000FF"/>
          <w:sz w:val="24"/>
          <w:szCs w:val="24"/>
          <w:lang w:bidi="ar-SA"/>
        </w:rPr>
        <w:t>(Savoirs, aptitudes et compétences</w:t>
      </w:r>
      <w:r w:rsidRPr="00BB7367">
        <w:rPr>
          <w:rFonts w:ascii="Times New Roman" w:hAnsi="Times New Roman"/>
          <w:b/>
          <w:bCs/>
          <w:color w:val="0000FF"/>
          <w:sz w:val="24"/>
          <w:szCs w:val="24"/>
          <w:lang w:bidi="ar-SA"/>
        </w:rPr>
        <w:t>)</w:t>
      </w:r>
    </w:p>
    <w:p w:rsidR="008D184C" w:rsidRDefault="0076444E" w:rsidP="008D184C">
      <w:pPr>
        <w:pBdr>
          <w:top w:val="single" w:sz="4" w:space="1" w:color="auto"/>
          <w:left w:val="single" w:sz="4" w:space="4" w:color="auto"/>
          <w:bottom w:val="single" w:sz="4" w:space="0" w:color="auto"/>
          <w:right w:val="single" w:sz="4" w:space="5" w:color="auto"/>
        </w:pBdr>
        <w:spacing w:before="100" w:beforeAutospacing="1"/>
        <w:jc w:val="both"/>
        <w:rPr>
          <w:lang w:bidi="ar-SA"/>
        </w:rPr>
      </w:pPr>
      <w:r>
        <w:rPr>
          <w:lang w:bidi="ar-SA"/>
        </w:rPr>
        <w:t>-</w:t>
      </w:r>
      <w:r w:rsidR="008D184C">
        <w:rPr>
          <w:lang w:bidi="ar-SA"/>
        </w:rPr>
        <w:t>Maitriser les enjeux de l’économie numérique et les modèles de l’économie de l’information</w:t>
      </w:r>
    </w:p>
    <w:p w:rsidR="00E26E37" w:rsidRDefault="0076444E" w:rsidP="00E5661B">
      <w:pPr>
        <w:pBdr>
          <w:top w:val="single" w:sz="4" w:space="1" w:color="auto"/>
          <w:left w:val="single" w:sz="4" w:space="4" w:color="auto"/>
          <w:bottom w:val="single" w:sz="4" w:space="0" w:color="auto"/>
          <w:right w:val="single" w:sz="4" w:space="5" w:color="auto"/>
        </w:pBdr>
        <w:spacing w:after="100" w:afterAutospacing="1"/>
        <w:jc w:val="both"/>
        <w:rPr>
          <w:lang w:bidi="ar-SA"/>
        </w:rPr>
      </w:pPr>
      <w:r>
        <w:rPr>
          <w:lang w:bidi="ar-SA"/>
        </w:rPr>
        <w:t>-</w:t>
      </w:r>
      <w:r w:rsidR="008D184C">
        <w:rPr>
          <w:lang w:bidi="ar-SA"/>
        </w:rPr>
        <w:t xml:space="preserve">Découvrir les outils de </w:t>
      </w:r>
      <w:r>
        <w:rPr>
          <w:lang w:bidi="ar-SA"/>
        </w:rPr>
        <w:t xml:space="preserve">la </w:t>
      </w:r>
      <w:r w:rsidR="008D184C">
        <w:rPr>
          <w:lang w:bidi="ar-SA"/>
        </w:rPr>
        <w:t xml:space="preserve">veille stratégique </w:t>
      </w:r>
    </w:p>
    <w:p w:rsidR="00E26E37" w:rsidRDefault="00E26E37" w:rsidP="00E26E37">
      <w:pPr>
        <w:numPr>
          <w:ilvl w:val="0"/>
          <w:numId w:val="2"/>
        </w:numPr>
        <w:autoSpaceDE w:val="0"/>
        <w:autoSpaceDN w:val="0"/>
        <w:adjustRightInd w:val="0"/>
        <w:ind w:left="330" w:hanging="330"/>
        <w:rPr>
          <w:color w:val="0000FF"/>
          <w:lang w:bidi="ar-SA"/>
        </w:rPr>
      </w:pPr>
      <w:r>
        <w:rPr>
          <w:b/>
          <w:bCs/>
          <w:color w:val="0000FF"/>
          <w:lang w:bidi="ar-SA"/>
        </w:rPr>
        <w:t xml:space="preserve">Pré-requis </w:t>
      </w:r>
      <w:r>
        <w:rPr>
          <w:color w:val="0000FF"/>
          <w:lang w:bidi="ar-SA"/>
        </w:rPr>
        <w:t>(définir les UE et les compétences indispensables pour suivre l’UE concernée)</w:t>
      </w:r>
    </w:p>
    <w:p w:rsidR="00E26E37" w:rsidRPr="00EA3EFA" w:rsidRDefault="00E26E37" w:rsidP="00E26E37">
      <w:pPr>
        <w:pStyle w:val="Paragraphedeliste"/>
        <w:numPr>
          <w:ilvl w:val="0"/>
          <w:numId w:val="2"/>
        </w:numPr>
        <w:tabs>
          <w:tab w:val="left" w:pos="284"/>
        </w:tabs>
        <w:autoSpaceDE w:val="0"/>
        <w:autoSpaceDN w:val="0"/>
        <w:adjustRightInd w:val="0"/>
        <w:spacing w:after="0" w:line="240" w:lineRule="auto"/>
        <w:ind w:left="0" w:firstLine="0"/>
        <w:rPr>
          <w:rFonts w:ascii="Times New Roman" w:hAnsi="Times New Roman"/>
          <w:color w:val="000000"/>
          <w:sz w:val="20"/>
          <w:szCs w:val="20"/>
          <w:lang w:bidi="ar-SA"/>
        </w:rPr>
      </w:pPr>
      <w:r w:rsidRPr="00EA3EFA">
        <w:rPr>
          <w:rFonts w:ascii="Times New Roman" w:hAnsi="Times New Roman"/>
          <w:b/>
          <w:bCs/>
          <w:color w:val="0000FF"/>
          <w:sz w:val="24"/>
          <w:szCs w:val="24"/>
          <w:lang w:bidi="ar-SA"/>
        </w:rPr>
        <w:t xml:space="preserve">Eléments constitutifs de l’UE </w:t>
      </w:r>
      <w:r w:rsidRPr="00EA3EFA">
        <w:rPr>
          <w:rFonts w:ascii="Times New Roman" w:hAnsi="Times New Roman"/>
          <w:color w:val="0000FF"/>
          <w:sz w:val="24"/>
          <w:szCs w:val="24"/>
          <w:lang w:bidi="ar-SA"/>
        </w:rPr>
        <w:t>(ECUE)</w:t>
      </w:r>
    </w:p>
    <w:p w:rsidR="00E26E37" w:rsidRDefault="00E26E37" w:rsidP="00E26E37">
      <w:pPr>
        <w:pStyle w:val="Paragraphedeliste"/>
        <w:tabs>
          <w:tab w:val="left" w:pos="284"/>
        </w:tabs>
        <w:autoSpaceDE w:val="0"/>
        <w:autoSpaceDN w:val="0"/>
        <w:adjustRightInd w:val="0"/>
        <w:spacing w:after="0" w:line="240" w:lineRule="auto"/>
        <w:ind w:left="0"/>
        <w:rPr>
          <w:rFonts w:ascii="Times New Roman" w:hAnsi="Times New Roman"/>
          <w:b/>
          <w:bCs/>
          <w:color w:val="0000FF"/>
          <w:sz w:val="24"/>
          <w:szCs w:val="24"/>
          <w:lang w:bidi="ar-SA"/>
        </w:rPr>
      </w:pPr>
      <w:r>
        <w:rPr>
          <w:rFonts w:ascii="Times New Roman" w:hAnsi="Times New Roman"/>
          <w:b/>
          <w:bCs/>
          <w:color w:val="0000FF"/>
          <w:sz w:val="24"/>
          <w:szCs w:val="24"/>
          <w:lang w:bidi="ar-SA"/>
        </w:rPr>
        <w:t>3.1- Enseignements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7"/>
        <w:gridCol w:w="816"/>
        <w:gridCol w:w="1121"/>
        <w:gridCol w:w="1322"/>
        <w:gridCol w:w="1609"/>
        <w:gridCol w:w="1373"/>
      </w:tblGrid>
      <w:tr w:rsidR="00E26E37" w:rsidRPr="00404595" w:rsidTr="00CD0AE9">
        <w:tc>
          <w:tcPr>
            <w:tcW w:w="3047" w:type="dxa"/>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Eléments constitutifs</w:t>
            </w:r>
          </w:p>
        </w:tc>
        <w:tc>
          <w:tcPr>
            <w:tcW w:w="4868" w:type="dxa"/>
            <w:gridSpan w:val="4"/>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Volume horaire semestriel</w:t>
            </w:r>
          </w:p>
        </w:tc>
        <w:tc>
          <w:tcPr>
            <w:tcW w:w="1373"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sidRPr="00404595">
              <w:rPr>
                <w:rFonts w:ascii="Times New Roman" w:hAnsi="Times New Roman"/>
                <w:color w:val="000000"/>
                <w:sz w:val="24"/>
                <w:szCs w:val="24"/>
                <w:lang w:bidi="ar-SA"/>
              </w:rPr>
              <w:t>Crédits</w:t>
            </w:r>
          </w:p>
        </w:tc>
      </w:tr>
      <w:tr w:rsidR="00E26E37" w:rsidRPr="00404595" w:rsidTr="00CD0AE9">
        <w:tc>
          <w:tcPr>
            <w:tcW w:w="3047"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16"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Cours</w:t>
            </w:r>
          </w:p>
        </w:tc>
        <w:tc>
          <w:tcPr>
            <w:tcW w:w="112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TD</w:t>
            </w:r>
          </w:p>
        </w:tc>
        <w:tc>
          <w:tcPr>
            <w:tcW w:w="1322"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TP</w:t>
            </w:r>
          </w:p>
        </w:tc>
        <w:tc>
          <w:tcPr>
            <w:tcW w:w="1609"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Autres</w:t>
            </w:r>
          </w:p>
        </w:tc>
        <w:tc>
          <w:tcPr>
            <w:tcW w:w="1373"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8532FC" w:rsidRPr="00404595" w:rsidTr="003F261E">
        <w:tc>
          <w:tcPr>
            <w:tcW w:w="3047" w:type="dxa"/>
            <w:vAlign w:val="center"/>
          </w:tcPr>
          <w:p w:rsidR="008532FC" w:rsidRPr="00EB2259" w:rsidRDefault="008D184C" w:rsidP="00CD0AE9">
            <w:pPr>
              <w:pStyle w:val="Contenudetableau"/>
              <w:snapToGrid w:val="0"/>
              <w:jc w:val="center"/>
              <w:rPr>
                <w:rFonts w:eastAsia="TimesNewRomanPS-BoldMT" w:cs="Times New Roman"/>
                <w:sz w:val="18"/>
                <w:szCs w:val="18"/>
              </w:rPr>
            </w:pPr>
            <w:r>
              <w:rPr>
                <w:rFonts w:eastAsia="TimesNewRomanPS-BoldMT" w:cs="Times New Roman"/>
                <w:sz w:val="18"/>
                <w:szCs w:val="18"/>
              </w:rPr>
              <w:t xml:space="preserve"> Veille stratégique</w:t>
            </w:r>
          </w:p>
        </w:tc>
        <w:tc>
          <w:tcPr>
            <w:tcW w:w="816" w:type="dxa"/>
            <w:tcBorders>
              <w:right w:val="single" w:sz="4" w:space="0" w:color="auto"/>
            </w:tcBorders>
            <w:vAlign w:val="center"/>
          </w:tcPr>
          <w:p w:rsidR="008532FC" w:rsidRPr="00404595" w:rsidRDefault="008532FC"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Pr>
                <w:rFonts w:ascii="Times New Roman" w:hAnsi="Times New Roman"/>
                <w:color w:val="000000"/>
                <w:sz w:val="24"/>
                <w:szCs w:val="24"/>
                <w:lang w:bidi="ar-SA"/>
              </w:rPr>
              <w:t>21</w:t>
            </w:r>
          </w:p>
        </w:tc>
        <w:tc>
          <w:tcPr>
            <w:tcW w:w="1121" w:type="dxa"/>
            <w:tcBorders>
              <w:left w:val="single" w:sz="4" w:space="0" w:color="auto"/>
              <w:right w:val="single" w:sz="4" w:space="0" w:color="auto"/>
            </w:tcBorders>
            <w:vAlign w:val="center"/>
          </w:tcPr>
          <w:p w:rsidR="008532FC" w:rsidRPr="00404595" w:rsidRDefault="008532FC"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p>
        </w:tc>
        <w:tc>
          <w:tcPr>
            <w:tcW w:w="1322" w:type="dxa"/>
            <w:tcBorders>
              <w:left w:val="single" w:sz="4" w:space="0" w:color="auto"/>
              <w:right w:val="single" w:sz="4" w:space="0" w:color="auto"/>
            </w:tcBorders>
            <w:vAlign w:val="center"/>
          </w:tcPr>
          <w:p w:rsidR="008532FC" w:rsidRPr="00404595" w:rsidRDefault="008532FC" w:rsidP="00CD0AE9">
            <w:pPr>
              <w:jc w:val="center"/>
            </w:pPr>
            <w:r w:rsidRPr="00404595">
              <w:rPr>
                <w:color w:val="000000"/>
                <w:lang w:bidi="ar-SA"/>
              </w:rPr>
              <w:t>……..</w:t>
            </w:r>
          </w:p>
        </w:tc>
        <w:tc>
          <w:tcPr>
            <w:tcW w:w="1609" w:type="dxa"/>
            <w:tcBorders>
              <w:left w:val="single" w:sz="4" w:space="0" w:color="auto"/>
            </w:tcBorders>
            <w:vAlign w:val="center"/>
          </w:tcPr>
          <w:p w:rsidR="008532FC" w:rsidRPr="00404595" w:rsidRDefault="008532FC" w:rsidP="00CD0AE9">
            <w:pPr>
              <w:jc w:val="center"/>
            </w:pPr>
            <w:r w:rsidRPr="00404595">
              <w:rPr>
                <w:color w:val="000000"/>
                <w:lang w:bidi="ar-SA"/>
              </w:rPr>
              <w:t>……..</w:t>
            </w:r>
          </w:p>
        </w:tc>
        <w:tc>
          <w:tcPr>
            <w:tcW w:w="1373" w:type="dxa"/>
            <w:vAlign w:val="center"/>
          </w:tcPr>
          <w:p w:rsidR="008532FC" w:rsidRPr="00CC3577" w:rsidRDefault="008532FC" w:rsidP="00CD0AE9">
            <w:pPr>
              <w:jc w:val="center"/>
              <w:rPr>
                <w:sz w:val="20"/>
                <w:szCs w:val="20"/>
              </w:rPr>
            </w:pPr>
            <w:r>
              <w:rPr>
                <w:sz w:val="20"/>
                <w:szCs w:val="20"/>
              </w:rPr>
              <w:t>4</w:t>
            </w:r>
          </w:p>
        </w:tc>
      </w:tr>
      <w:tr w:rsidR="008532FC" w:rsidRPr="00404595" w:rsidTr="003F261E">
        <w:trPr>
          <w:trHeight w:val="241"/>
        </w:trPr>
        <w:tc>
          <w:tcPr>
            <w:tcW w:w="3047" w:type="dxa"/>
            <w:vAlign w:val="center"/>
          </w:tcPr>
          <w:p w:rsidR="008532FC" w:rsidRPr="008263CA" w:rsidRDefault="008532FC" w:rsidP="00CD0AE9">
            <w:pPr>
              <w:pStyle w:val="Contenudetableau"/>
              <w:snapToGrid w:val="0"/>
              <w:jc w:val="center"/>
              <w:rPr>
                <w:rFonts w:eastAsia="TimesNewRomanPS-BoldMT" w:cs="Times New Roman"/>
                <w:sz w:val="18"/>
                <w:szCs w:val="18"/>
              </w:rPr>
            </w:pPr>
            <w:r w:rsidRPr="008263CA">
              <w:rPr>
                <w:rFonts w:eastAsia="TimesNewRomanPS-BoldMT" w:cs="Times New Roman"/>
                <w:sz w:val="18"/>
                <w:szCs w:val="18"/>
              </w:rPr>
              <w:t>Economie de l’Information</w:t>
            </w:r>
          </w:p>
        </w:tc>
        <w:tc>
          <w:tcPr>
            <w:tcW w:w="816" w:type="dxa"/>
            <w:tcBorders>
              <w:right w:val="single" w:sz="4" w:space="0" w:color="auto"/>
            </w:tcBorders>
            <w:vAlign w:val="center"/>
          </w:tcPr>
          <w:p w:rsidR="008532FC" w:rsidRPr="00BA15E3" w:rsidRDefault="008532FC" w:rsidP="00CD0AE9">
            <w:pPr>
              <w:jc w:val="center"/>
              <w:rPr>
                <w:sz w:val="20"/>
                <w:szCs w:val="20"/>
              </w:rPr>
            </w:pPr>
            <w:r>
              <w:rPr>
                <w:sz w:val="20"/>
                <w:szCs w:val="20"/>
              </w:rPr>
              <w:t>21</w:t>
            </w:r>
          </w:p>
        </w:tc>
        <w:tc>
          <w:tcPr>
            <w:tcW w:w="1121" w:type="dxa"/>
            <w:tcBorders>
              <w:left w:val="single" w:sz="4" w:space="0" w:color="auto"/>
              <w:right w:val="single" w:sz="4" w:space="0" w:color="auto"/>
            </w:tcBorders>
            <w:vAlign w:val="center"/>
          </w:tcPr>
          <w:p w:rsidR="008532FC" w:rsidRPr="00CC3577" w:rsidRDefault="008532FC" w:rsidP="00CD0AE9">
            <w:pPr>
              <w:jc w:val="center"/>
              <w:rPr>
                <w:sz w:val="20"/>
                <w:szCs w:val="20"/>
              </w:rPr>
            </w:pPr>
          </w:p>
        </w:tc>
        <w:tc>
          <w:tcPr>
            <w:tcW w:w="1322" w:type="dxa"/>
            <w:tcBorders>
              <w:left w:val="single" w:sz="4" w:space="0" w:color="auto"/>
              <w:right w:val="single" w:sz="4" w:space="0" w:color="auto"/>
            </w:tcBorders>
          </w:tcPr>
          <w:p w:rsidR="008532FC" w:rsidRPr="00404595" w:rsidRDefault="008532FC" w:rsidP="00CD0AE9"/>
        </w:tc>
        <w:tc>
          <w:tcPr>
            <w:tcW w:w="1609" w:type="dxa"/>
            <w:tcBorders>
              <w:left w:val="single" w:sz="4" w:space="0" w:color="auto"/>
            </w:tcBorders>
          </w:tcPr>
          <w:p w:rsidR="008532FC" w:rsidRPr="00404595" w:rsidRDefault="008532FC" w:rsidP="00CD0AE9"/>
        </w:tc>
        <w:tc>
          <w:tcPr>
            <w:tcW w:w="1373" w:type="dxa"/>
            <w:vAlign w:val="center"/>
          </w:tcPr>
          <w:p w:rsidR="008532FC" w:rsidRPr="00CC3577" w:rsidRDefault="008532FC" w:rsidP="00CD0AE9">
            <w:pPr>
              <w:jc w:val="center"/>
              <w:rPr>
                <w:sz w:val="20"/>
                <w:szCs w:val="20"/>
              </w:rPr>
            </w:pPr>
            <w:r>
              <w:rPr>
                <w:sz w:val="20"/>
                <w:szCs w:val="20"/>
              </w:rPr>
              <w:t>3</w:t>
            </w:r>
          </w:p>
        </w:tc>
      </w:tr>
      <w:tr w:rsidR="00E26E37" w:rsidRPr="00404595" w:rsidTr="00CD0AE9">
        <w:trPr>
          <w:trHeight w:val="241"/>
        </w:trPr>
        <w:tc>
          <w:tcPr>
            <w:tcW w:w="3047" w:type="dxa"/>
            <w:tcBorders>
              <w:bottom w:val="single" w:sz="4" w:space="0" w:color="000000"/>
            </w:tcBorders>
          </w:tcPr>
          <w:p w:rsidR="00E26E37" w:rsidRPr="00110A58" w:rsidRDefault="00E26E37" w:rsidP="00CD0AE9">
            <w:pPr>
              <w:pStyle w:val="Paragraphedeliste"/>
              <w:tabs>
                <w:tab w:val="left" w:pos="284"/>
              </w:tabs>
              <w:autoSpaceDE w:val="0"/>
              <w:autoSpaceDN w:val="0"/>
              <w:adjustRightInd w:val="0"/>
              <w:jc w:val="center"/>
              <w:rPr>
                <w:rFonts w:ascii="Times New Roman" w:hAnsi="Times New Roman"/>
                <w:b/>
                <w:bCs/>
                <w:color w:val="000000"/>
                <w:sz w:val="24"/>
                <w:szCs w:val="24"/>
                <w:lang w:bidi="ar-SA"/>
              </w:rPr>
            </w:pPr>
            <w:r w:rsidRPr="00110A58">
              <w:rPr>
                <w:rFonts w:ascii="Times New Roman" w:hAnsi="Times New Roman"/>
                <w:b/>
                <w:bCs/>
                <w:color w:val="000000"/>
                <w:sz w:val="24"/>
                <w:szCs w:val="24"/>
                <w:lang w:bidi="ar-SA"/>
              </w:rPr>
              <w:t>Total</w:t>
            </w:r>
          </w:p>
        </w:tc>
        <w:tc>
          <w:tcPr>
            <w:tcW w:w="816" w:type="dxa"/>
            <w:tcBorders>
              <w:bottom w:val="single" w:sz="4" w:space="0" w:color="000000"/>
              <w:right w:val="single" w:sz="4" w:space="0" w:color="auto"/>
            </w:tcBorders>
            <w:vAlign w:val="center"/>
          </w:tcPr>
          <w:p w:rsidR="00E26E37" w:rsidRPr="00110A58" w:rsidRDefault="001A61E6" w:rsidP="00CD0AE9">
            <w:pPr>
              <w:jc w:val="center"/>
              <w:rPr>
                <w:b/>
                <w:bCs/>
                <w:sz w:val="20"/>
                <w:szCs w:val="20"/>
              </w:rPr>
            </w:pPr>
            <w:r>
              <w:rPr>
                <w:b/>
                <w:bCs/>
                <w:sz w:val="20"/>
                <w:szCs w:val="20"/>
              </w:rPr>
              <w:t>42</w:t>
            </w:r>
          </w:p>
        </w:tc>
        <w:tc>
          <w:tcPr>
            <w:tcW w:w="1121" w:type="dxa"/>
            <w:tcBorders>
              <w:left w:val="single" w:sz="4" w:space="0" w:color="auto"/>
              <w:bottom w:val="single" w:sz="4" w:space="0" w:color="000000"/>
              <w:right w:val="single" w:sz="4" w:space="0" w:color="auto"/>
            </w:tcBorders>
            <w:vAlign w:val="center"/>
          </w:tcPr>
          <w:p w:rsidR="00E26E37" w:rsidRPr="00110A58" w:rsidRDefault="004403AB" w:rsidP="00CD0AE9">
            <w:pPr>
              <w:jc w:val="center"/>
              <w:rPr>
                <w:b/>
                <w:bCs/>
                <w:sz w:val="20"/>
                <w:szCs w:val="20"/>
              </w:rPr>
            </w:pPr>
            <w:r>
              <w:rPr>
                <w:b/>
                <w:bCs/>
                <w:sz w:val="20"/>
                <w:szCs w:val="20"/>
              </w:rPr>
              <w:t>0</w:t>
            </w:r>
          </w:p>
        </w:tc>
        <w:tc>
          <w:tcPr>
            <w:tcW w:w="1322" w:type="dxa"/>
            <w:tcBorders>
              <w:left w:val="single" w:sz="4" w:space="0" w:color="auto"/>
              <w:bottom w:val="single" w:sz="4" w:space="0" w:color="000000"/>
              <w:right w:val="single" w:sz="4" w:space="0" w:color="auto"/>
            </w:tcBorders>
          </w:tcPr>
          <w:p w:rsidR="00E26E37" w:rsidRPr="00110A58" w:rsidRDefault="00E26E37" w:rsidP="00CD0AE9">
            <w:pPr>
              <w:jc w:val="center"/>
              <w:rPr>
                <w:b/>
                <w:bCs/>
              </w:rPr>
            </w:pPr>
            <w:r w:rsidRPr="00110A58">
              <w:rPr>
                <w:b/>
                <w:bCs/>
              </w:rPr>
              <w:t>0</w:t>
            </w:r>
          </w:p>
        </w:tc>
        <w:tc>
          <w:tcPr>
            <w:tcW w:w="1609" w:type="dxa"/>
            <w:tcBorders>
              <w:left w:val="single" w:sz="4" w:space="0" w:color="auto"/>
              <w:bottom w:val="single" w:sz="4" w:space="0" w:color="000000"/>
            </w:tcBorders>
          </w:tcPr>
          <w:p w:rsidR="00E26E37" w:rsidRPr="00110A58" w:rsidRDefault="00E26E37" w:rsidP="00CD0AE9">
            <w:pPr>
              <w:jc w:val="center"/>
              <w:rPr>
                <w:b/>
                <w:bCs/>
              </w:rPr>
            </w:pPr>
            <w:r w:rsidRPr="00110A58">
              <w:rPr>
                <w:b/>
                <w:bCs/>
              </w:rPr>
              <w:t>0</w:t>
            </w:r>
          </w:p>
        </w:tc>
        <w:tc>
          <w:tcPr>
            <w:tcW w:w="1373" w:type="dxa"/>
            <w:tcBorders>
              <w:bottom w:val="single" w:sz="4" w:space="0" w:color="000000"/>
            </w:tcBorders>
          </w:tcPr>
          <w:p w:rsidR="00E26E37" w:rsidRPr="00110A58" w:rsidRDefault="001A61E6" w:rsidP="00CD0AE9">
            <w:pPr>
              <w:jc w:val="center"/>
              <w:rPr>
                <w:b/>
                <w:bCs/>
              </w:rPr>
            </w:pPr>
            <w:r>
              <w:rPr>
                <w:b/>
                <w:bCs/>
              </w:rPr>
              <w:t>7</w:t>
            </w:r>
          </w:p>
        </w:tc>
      </w:tr>
    </w:tbl>
    <w:p w:rsidR="00E26E37" w:rsidRDefault="00E26E37" w:rsidP="00E26E37">
      <w:pPr>
        <w:autoSpaceDE w:val="0"/>
        <w:autoSpaceDN w:val="0"/>
        <w:adjustRightInd w:val="0"/>
        <w:rPr>
          <w:b/>
          <w:bCs/>
          <w:color w:val="0000FF"/>
          <w:lang w:bidi="ar-SA"/>
        </w:rPr>
      </w:pPr>
    </w:p>
    <w:p w:rsidR="00E26E37" w:rsidRPr="00803DE9" w:rsidRDefault="00E26E37" w:rsidP="00E26E37">
      <w:pPr>
        <w:autoSpaceDE w:val="0"/>
        <w:autoSpaceDN w:val="0"/>
        <w:adjustRightInd w:val="0"/>
        <w:rPr>
          <w:b/>
          <w:bCs/>
          <w:color w:val="0000FF"/>
          <w:lang w:bidi="ar-SA"/>
        </w:rPr>
      </w:pPr>
      <w:r w:rsidRPr="00803DE9">
        <w:rPr>
          <w:b/>
          <w:bCs/>
          <w:color w:val="0000FF"/>
          <w:lang w:bidi="ar-SA"/>
        </w:rPr>
        <w:t xml:space="preserve">3.2- Activités pratiques : </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4"/>
        <w:gridCol w:w="1881"/>
        <w:gridCol w:w="1201"/>
        <w:gridCol w:w="1433"/>
        <w:gridCol w:w="856"/>
        <w:gridCol w:w="910"/>
      </w:tblGrid>
      <w:tr w:rsidR="00E26E37" w:rsidRPr="00404595"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Activités Pratiques de l’UE</w:t>
            </w:r>
          </w:p>
        </w:tc>
        <w:tc>
          <w:tcPr>
            <w:tcW w:w="5371" w:type="dxa"/>
            <w:gridSpan w:val="4"/>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Durée </w:t>
            </w:r>
          </w:p>
        </w:tc>
        <w:tc>
          <w:tcPr>
            <w:tcW w:w="910"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sidRPr="00404595">
              <w:rPr>
                <w:rFonts w:ascii="Times New Roman" w:hAnsi="Times New Roman"/>
                <w:color w:val="000000"/>
                <w:sz w:val="24"/>
                <w:szCs w:val="24"/>
                <w:lang w:bidi="ar-SA"/>
              </w:rPr>
              <w:t>Crédits</w:t>
            </w:r>
          </w:p>
        </w:tc>
      </w:tr>
      <w:tr w:rsidR="00E26E37" w:rsidRPr="00404595"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881"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Travaux sur terrain </w:t>
            </w:r>
          </w:p>
        </w:tc>
        <w:tc>
          <w:tcPr>
            <w:tcW w:w="120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Projet</w:t>
            </w:r>
          </w:p>
        </w:tc>
        <w:tc>
          <w:tcPr>
            <w:tcW w:w="1433"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stage</w:t>
            </w:r>
          </w:p>
        </w:tc>
        <w:tc>
          <w:tcPr>
            <w:tcW w:w="856"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Autres</w:t>
            </w:r>
          </w:p>
        </w:tc>
        <w:tc>
          <w:tcPr>
            <w:tcW w:w="910"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E26E37" w:rsidRPr="000A0628"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hanging="720"/>
              <w:rPr>
                <w:rFonts w:ascii="Times New Roman" w:hAnsi="Times New Roman"/>
                <w:color w:val="000000"/>
                <w:sz w:val="24"/>
                <w:szCs w:val="24"/>
                <w:lang w:bidi="ar-SA"/>
              </w:rPr>
            </w:pPr>
            <w:r>
              <w:rPr>
                <w:rFonts w:ascii="Times New Roman" w:hAnsi="Times New Roman"/>
                <w:color w:val="000000"/>
                <w:sz w:val="24"/>
                <w:szCs w:val="24"/>
                <w:lang w:bidi="ar-SA"/>
              </w:rPr>
              <w:t xml:space="preserve">Projet à réaliser par groupe </w:t>
            </w:r>
          </w:p>
        </w:tc>
        <w:tc>
          <w:tcPr>
            <w:tcW w:w="1881"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201" w:type="dxa"/>
            <w:tcBorders>
              <w:left w:val="single" w:sz="4" w:space="0" w:color="auto"/>
              <w:right w:val="single" w:sz="4" w:space="0" w:color="auto"/>
            </w:tcBorders>
          </w:tcPr>
          <w:p w:rsidR="00E26E37" w:rsidRPr="00404595" w:rsidRDefault="008D184C"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Pr>
                <w:rFonts w:ascii="Times New Roman" w:hAnsi="Times New Roman"/>
                <w:color w:val="000000"/>
                <w:sz w:val="24"/>
                <w:szCs w:val="24"/>
                <w:lang w:bidi="ar-SA"/>
              </w:rPr>
              <w:t>x</w:t>
            </w:r>
          </w:p>
        </w:tc>
        <w:tc>
          <w:tcPr>
            <w:tcW w:w="1433"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56"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910"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E26E37" w:rsidRPr="00404595" w:rsidTr="00CD0AE9">
        <w:trPr>
          <w:trHeight w:val="265"/>
        </w:trPr>
        <w:tc>
          <w:tcPr>
            <w:tcW w:w="3254" w:type="dxa"/>
            <w:tcBorders>
              <w:bottom w:val="single" w:sz="4" w:space="0" w:color="000000"/>
            </w:tcBorders>
          </w:tcPr>
          <w:p w:rsidR="00E26E37" w:rsidRPr="00404595" w:rsidRDefault="00E26E37" w:rsidP="00CD0AE9">
            <w:pPr>
              <w:pStyle w:val="Paragraphedeliste"/>
              <w:tabs>
                <w:tab w:val="left" w:pos="284"/>
              </w:tabs>
              <w:autoSpaceDE w:val="0"/>
              <w:autoSpaceDN w:val="0"/>
              <w:adjustRightInd w:val="0"/>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Total </w:t>
            </w:r>
          </w:p>
        </w:tc>
        <w:tc>
          <w:tcPr>
            <w:tcW w:w="1881" w:type="dxa"/>
            <w:tcBorders>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201" w:type="dxa"/>
            <w:tcBorders>
              <w:left w:val="single" w:sz="4" w:space="0" w:color="auto"/>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433" w:type="dxa"/>
            <w:tcBorders>
              <w:left w:val="single" w:sz="4" w:space="0" w:color="auto"/>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56" w:type="dxa"/>
            <w:tcBorders>
              <w:left w:val="single" w:sz="4" w:space="0" w:color="auto"/>
              <w:bottom w:val="single" w:sz="4" w:space="0" w:color="000000"/>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910" w:type="dxa"/>
            <w:tcBorders>
              <w:bottom w:val="single" w:sz="4" w:space="0" w:color="000000"/>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bl>
    <w:p w:rsidR="00E26E37" w:rsidRDefault="00E26E37" w:rsidP="00E26E37">
      <w:pPr>
        <w:autoSpaceDE w:val="0"/>
        <w:autoSpaceDN w:val="0"/>
        <w:adjustRightInd w:val="0"/>
        <w:rPr>
          <w:b/>
          <w:bCs/>
          <w:color w:val="0000FF"/>
          <w:lang w:bidi="ar-SA"/>
        </w:rPr>
      </w:pPr>
    </w:p>
    <w:p w:rsidR="00E26E37" w:rsidRPr="008451B0" w:rsidRDefault="00E26E37" w:rsidP="00E26E37">
      <w:pPr>
        <w:pStyle w:val="Paragraphedeliste"/>
        <w:numPr>
          <w:ilvl w:val="0"/>
          <w:numId w:val="3"/>
        </w:numPr>
        <w:autoSpaceDE w:val="0"/>
        <w:autoSpaceDN w:val="0"/>
        <w:adjustRightInd w:val="0"/>
        <w:spacing w:after="0" w:line="240" w:lineRule="auto"/>
        <w:ind w:left="360"/>
        <w:rPr>
          <w:rFonts w:ascii="Times New Roman" w:hAnsi="Times New Roman"/>
          <w:color w:val="0000FF"/>
          <w:sz w:val="24"/>
          <w:szCs w:val="24"/>
          <w:lang w:bidi="ar-SA"/>
        </w:rPr>
      </w:pPr>
      <w:r w:rsidRPr="008451B0">
        <w:rPr>
          <w:rFonts w:ascii="Times New Roman" w:hAnsi="Times New Roman"/>
          <w:b/>
          <w:bCs/>
          <w:color w:val="0000FF"/>
          <w:sz w:val="24"/>
          <w:szCs w:val="24"/>
          <w:lang w:bidi="ar-SA"/>
        </w:rPr>
        <w:t xml:space="preserve">Contenu </w:t>
      </w:r>
      <w:r w:rsidRPr="008451B0">
        <w:rPr>
          <w:rFonts w:ascii="Times New Roman" w:hAnsi="Times New Roman"/>
          <w:color w:val="0000FF"/>
          <w:sz w:val="24"/>
          <w:szCs w:val="24"/>
          <w:lang w:bidi="ar-SA"/>
        </w:rPr>
        <w:t>(descriptifs et plans des cours)</w:t>
      </w:r>
    </w:p>
    <w:p w:rsidR="00E26E37" w:rsidRPr="008451B0" w:rsidRDefault="00E26E37" w:rsidP="00E26E37">
      <w:pPr>
        <w:pStyle w:val="Paragraphedeliste"/>
        <w:autoSpaceDE w:val="0"/>
        <w:autoSpaceDN w:val="0"/>
        <w:adjustRightInd w:val="0"/>
        <w:spacing w:after="0" w:line="240" w:lineRule="auto"/>
        <w:rPr>
          <w:rFonts w:ascii="Times New Roman" w:hAnsi="Times New Roman"/>
          <w:color w:val="000000"/>
          <w:sz w:val="20"/>
          <w:szCs w:val="20"/>
          <w:lang w:bidi="ar-SA"/>
        </w:rPr>
      </w:pPr>
    </w:p>
    <w:p w:rsidR="00E26E37" w:rsidRDefault="00E26E37" w:rsidP="00E26E37">
      <w:pPr>
        <w:autoSpaceDE w:val="0"/>
        <w:autoSpaceDN w:val="0"/>
        <w:adjustRightInd w:val="0"/>
        <w:rPr>
          <w:rFonts w:eastAsia="Rockwell"/>
          <w:color w:val="000000"/>
          <w:sz w:val="20"/>
          <w:szCs w:val="20"/>
          <w:lang w:bidi="ar-SA"/>
        </w:rPr>
      </w:pPr>
      <w:r>
        <w:rPr>
          <w:color w:val="000000"/>
          <w:sz w:val="20"/>
          <w:szCs w:val="20"/>
          <w:lang w:bidi="ar-SA"/>
        </w:rPr>
        <w:t xml:space="preserve"> </w:t>
      </w:r>
      <w:r>
        <w:rPr>
          <w:rFonts w:eastAsia="Rockwell"/>
          <w:b/>
          <w:bCs/>
          <w:color w:val="810000"/>
          <w:lang w:bidi="ar-SA"/>
        </w:rPr>
        <w:t xml:space="preserve">4.1- Enseignements </w:t>
      </w:r>
      <w:r>
        <w:rPr>
          <w:rFonts w:eastAsia="Rockwell"/>
          <w:color w:val="810000"/>
          <w:lang w:bidi="ar-SA"/>
        </w:rPr>
        <w:t>(Présenter une description succincte des programmes de chaque ECUE et joindre le programme détaillé à la fiche descriptive de l’UE)</w:t>
      </w:r>
    </w:p>
    <w:p w:rsidR="00E26E37" w:rsidRPr="00803DE9" w:rsidRDefault="00E26E37" w:rsidP="00E26E37">
      <w:pPr>
        <w:autoSpaceDE w:val="0"/>
        <w:autoSpaceDN w:val="0"/>
        <w:adjustRightInd w:val="0"/>
        <w:rPr>
          <w:rFonts w:eastAsia="Rockwell"/>
          <w:color w:val="000000"/>
          <w:sz w:val="20"/>
          <w:szCs w:val="20"/>
          <w:lang w:bidi="ar-SA"/>
        </w:rPr>
      </w:pPr>
    </w:p>
    <w:p w:rsidR="00E26E37" w:rsidRDefault="00E26E37" w:rsidP="0076444E">
      <w:pPr>
        <w:pStyle w:val="texteifgp2"/>
        <w:pBdr>
          <w:top w:val="single" w:sz="4" w:space="1" w:color="auto"/>
          <w:left w:val="single" w:sz="4" w:space="4" w:color="auto"/>
          <w:bottom w:val="single" w:sz="4" w:space="1" w:color="auto"/>
          <w:right w:val="single" w:sz="4" w:space="4" w:color="auto"/>
        </w:pBdr>
        <w:spacing w:before="0" w:beforeAutospacing="0" w:after="0" w:afterAutospacing="0"/>
        <w:rPr>
          <w:lang w:val="fr-CA"/>
        </w:rPr>
      </w:pPr>
      <w:r w:rsidRPr="007E3DA7">
        <w:rPr>
          <w:lang w:val="fr-CA"/>
        </w:rPr>
        <w:t> </w:t>
      </w:r>
      <w:r w:rsidR="0076444E">
        <w:rPr>
          <w:lang w:val="fr-CA"/>
        </w:rPr>
        <w:t>D</w:t>
      </w:r>
      <w:r w:rsidR="00176649">
        <w:rPr>
          <w:lang w:val="fr-CA"/>
        </w:rPr>
        <w:t>eux</w:t>
      </w:r>
      <w:r>
        <w:rPr>
          <w:lang w:val="fr-CA"/>
        </w:rPr>
        <w:t xml:space="preserve"> modules:</w:t>
      </w:r>
    </w:p>
    <w:p w:rsidR="00E26E37" w:rsidRDefault="008D184C" w:rsidP="008532FC">
      <w:pPr>
        <w:pStyle w:val="texteifgp2"/>
        <w:pBdr>
          <w:top w:val="single" w:sz="4" w:space="1" w:color="auto"/>
          <w:left w:val="single" w:sz="4" w:space="4" w:color="auto"/>
          <w:bottom w:val="single" w:sz="4" w:space="1" w:color="auto"/>
          <w:right w:val="single" w:sz="4" w:space="4" w:color="auto"/>
        </w:pBdr>
        <w:spacing w:before="0" w:beforeAutospacing="0" w:after="0" w:afterAutospacing="0"/>
        <w:rPr>
          <w:rFonts w:asciiTheme="majorBidi" w:eastAsia="Calibri" w:hAnsiTheme="majorBidi" w:cstheme="majorBidi"/>
          <w:color w:val="000000"/>
          <w:sz w:val="18"/>
          <w:szCs w:val="18"/>
        </w:rPr>
      </w:pPr>
      <w:r>
        <w:rPr>
          <w:rFonts w:eastAsia="TimesNewRomanPS-BoldMT"/>
          <w:sz w:val="18"/>
          <w:szCs w:val="18"/>
        </w:rPr>
        <w:t xml:space="preserve">Veille stratégique </w:t>
      </w:r>
      <w:r w:rsidR="008532FC">
        <w:rPr>
          <w:rFonts w:eastAsia="TimesNewRomanPS-BoldMT"/>
          <w:sz w:val="18"/>
          <w:szCs w:val="18"/>
        </w:rPr>
        <w:t xml:space="preserve"> ET </w:t>
      </w:r>
      <w:r w:rsidR="008532FC" w:rsidRPr="008263CA">
        <w:rPr>
          <w:rFonts w:eastAsia="TimesNewRomanPS-BoldMT"/>
          <w:sz w:val="18"/>
          <w:szCs w:val="18"/>
        </w:rPr>
        <w:t>Economie de l’Information</w:t>
      </w:r>
      <w:r w:rsidR="008532FC">
        <w:rPr>
          <w:rFonts w:eastAsia="TimesNewRomanPS-BoldMT"/>
          <w:sz w:val="18"/>
          <w:szCs w:val="18"/>
        </w:rPr>
        <w:t>.</w:t>
      </w:r>
    </w:p>
    <w:p w:rsidR="004403AB" w:rsidRPr="004403AB" w:rsidRDefault="004403AB" w:rsidP="004403AB">
      <w:pPr>
        <w:pStyle w:val="texteifgp2"/>
        <w:pBdr>
          <w:top w:val="single" w:sz="4" w:space="1" w:color="auto"/>
          <w:left w:val="single" w:sz="4" w:space="4" w:color="auto"/>
          <w:bottom w:val="single" w:sz="4" w:space="1" w:color="auto"/>
          <w:right w:val="single" w:sz="4" w:space="4" w:color="auto"/>
        </w:pBdr>
        <w:spacing w:before="0" w:beforeAutospacing="0" w:after="0" w:afterAutospacing="0"/>
      </w:pPr>
    </w:p>
    <w:p w:rsidR="00E26E37" w:rsidRDefault="00E26E37" w:rsidP="00E26E37">
      <w:pPr>
        <w:autoSpaceDE w:val="0"/>
        <w:autoSpaceDN w:val="0"/>
        <w:adjustRightInd w:val="0"/>
        <w:rPr>
          <w:rFonts w:eastAsia="Rockwell"/>
          <w:color w:val="810000"/>
          <w:lang w:bidi="ar-SA"/>
        </w:rPr>
      </w:pPr>
      <w:r>
        <w:rPr>
          <w:rFonts w:eastAsia="Rockwell"/>
          <w:b/>
          <w:bCs/>
          <w:color w:val="810000"/>
          <w:lang w:bidi="ar-SA"/>
        </w:rPr>
        <w:t xml:space="preserve">4.2- Activités pratiques de l’UE </w:t>
      </w:r>
      <w:r>
        <w:rPr>
          <w:rFonts w:eastAsia="Rockwell"/>
          <w:color w:val="810000"/>
          <w:lang w:bidi="ar-SA"/>
        </w:rPr>
        <w:t>(Présenter une description succincte des objectifs, des contenus et des procédures d’organisation de chaque activité)</w:t>
      </w:r>
    </w:p>
    <w:p w:rsidR="00E26E37" w:rsidRDefault="00E26E37" w:rsidP="00E26E37">
      <w:pPr>
        <w:autoSpaceDE w:val="0"/>
        <w:autoSpaceDN w:val="0"/>
        <w:adjustRightInd w:val="0"/>
        <w:rPr>
          <w:rFonts w:eastAsia="Rockwell"/>
          <w:color w:val="000000"/>
          <w:sz w:val="20"/>
          <w:szCs w:val="20"/>
          <w:lang w:bidi="ar-SA"/>
        </w:rPr>
      </w:pPr>
    </w:p>
    <w:p w:rsidR="00E26E37" w:rsidRPr="000B5171" w:rsidRDefault="00E26E37" w:rsidP="008D184C">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Times New Roman" w:hAnsi="Times New Roman"/>
          <w:sz w:val="24"/>
          <w:szCs w:val="24"/>
        </w:rPr>
      </w:pPr>
      <w:r w:rsidRPr="000B5171">
        <w:rPr>
          <w:rFonts w:ascii="Times New Roman" w:eastAsia="Rockwell" w:hAnsi="Times New Roman"/>
          <w:color w:val="000000"/>
          <w:sz w:val="24"/>
          <w:szCs w:val="24"/>
          <w:lang w:bidi="ar-SA"/>
        </w:rPr>
        <w:lastRenderedPageBreak/>
        <w:t xml:space="preserve">Ce cours est basé sur des études de cas </w:t>
      </w:r>
      <w:r w:rsidR="008D184C">
        <w:rPr>
          <w:rFonts w:ascii="Times New Roman" w:eastAsia="Rockwell" w:hAnsi="Times New Roman"/>
          <w:color w:val="000000"/>
          <w:sz w:val="24"/>
          <w:szCs w:val="24"/>
          <w:lang w:bidi="ar-SA"/>
        </w:rPr>
        <w:t>de veille concurrentielle et technologique  à l’échelle internationale avec des outils informatiques spécialisées.</w:t>
      </w:r>
    </w:p>
    <w:p w:rsidR="00E26E37" w:rsidRPr="00D36369" w:rsidRDefault="00E26E37" w:rsidP="00E26E37">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Times New Roman" w:eastAsia="Rockwell" w:hAnsi="Times New Roman"/>
          <w:color w:val="0000FF"/>
          <w:sz w:val="24"/>
          <w:szCs w:val="24"/>
          <w:lang w:bidi="ar-SA"/>
        </w:rPr>
      </w:pPr>
    </w:p>
    <w:p w:rsidR="00E26E37" w:rsidRDefault="00E26E37" w:rsidP="00E26E37">
      <w:pPr>
        <w:pStyle w:val="Paragraphedeliste"/>
        <w:numPr>
          <w:ilvl w:val="0"/>
          <w:numId w:val="3"/>
        </w:numPr>
        <w:autoSpaceDE w:val="0"/>
        <w:autoSpaceDN w:val="0"/>
        <w:adjustRightInd w:val="0"/>
        <w:spacing w:after="0" w:line="240" w:lineRule="auto"/>
        <w:ind w:left="284" w:hanging="284"/>
        <w:rPr>
          <w:rFonts w:ascii="Times New Roman" w:eastAsia="Rockwell" w:hAnsi="Times New Roman"/>
          <w:color w:val="0000FF"/>
          <w:sz w:val="24"/>
          <w:szCs w:val="24"/>
          <w:lang w:bidi="ar-SA"/>
        </w:rPr>
      </w:pPr>
      <w:r w:rsidRPr="00803DE9">
        <w:rPr>
          <w:rFonts w:ascii="Times New Roman" w:eastAsia="Rockwell" w:hAnsi="Times New Roman"/>
          <w:b/>
          <w:bCs/>
          <w:color w:val="0000FF"/>
          <w:sz w:val="24"/>
          <w:szCs w:val="24"/>
          <w:lang w:bidi="ar-SA"/>
        </w:rPr>
        <w:t xml:space="preserve">Méthodes pédagogiques et moyens didactiques spécifiques à l’UE </w:t>
      </w:r>
      <w:r w:rsidRPr="00803DE9">
        <w:rPr>
          <w:rFonts w:ascii="Times New Roman" w:eastAsia="Rockwell" w:hAnsi="Times New Roman"/>
          <w:color w:val="0000FF"/>
          <w:sz w:val="24"/>
          <w:szCs w:val="24"/>
          <w:lang w:bidi="ar-SA"/>
        </w:rPr>
        <w:t>(méthodes et outils pédagogiques, ouvrages de référence, recours aux TIC – possibilités d’enseignement à distance…)</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sidRPr="00803DE9">
        <w:rPr>
          <w:lang w:bidi="ar-SA"/>
        </w:rPr>
        <w:t xml:space="preserve">1- </w:t>
      </w:r>
      <w:r>
        <w:rPr>
          <w:lang w:bidi="ar-SA"/>
        </w:rPr>
        <w:t xml:space="preserve">Présentation théorique : Powerpoint </w:t>
      </w: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lang w:bidi="ar-SA"/>
        </w:rPr>
      </w:pPr>
      <w:r w:rsidRPr="00803DE9">
        <w:rPr>
          <w:lang w:bidi="ar-SA"/>
        </w:rPr>
        <w:t xml:space="preserve">2- </w:t>
      </w:r>
      <w:r w:rsidR="008D184C">
        <w:rPr>
          <w:lang w:bidi="ar-SA"/>
        </w:rPr>
        <w:t xml:space="preserve">Etudes de cas et </w:t>
      </w:r>
      <w:r>
        <w:rPr>
          <w:lang w:bidi="ar-SA"/>
        </w:rPr>
        <w:t xml:space="preserve">Exercices </w:t>
      </w:r>
      <w:r w:rsidR="008D184C">
        <w:rPr>
          <w:lang w:bidi="ar-SA"/>
        </w:rPr>
        <w:t xml:space="preserve"> </w:t>
      </w:r>
    </w:p>
    <w:p w:rsidR="008D184C" w:rsidRDefault="008D184C" w:rsidP="00E26E37">
      <w:pPr>
        <w:pBdr>
          <w:top w:val="single" w:sz="4" w:space="1" w:color="auto"/>
          <w:left w:val="single" w:sz="4" w:space="4" w:color="auto"/>
          <w:bottom w:val="single" w:sz="4" w:space="1" w:color="auto"/>
          <w:right w:val="single" w:sz="4" w:space="4" w:color="auto"/>
        </w:pBdr>
        <w:autoSpaceDE w:val="0"/>
        <w:autoSpaceDN w:val="0"/>
        <w:adjustRightInd w:val="0"/>
        <w:rPr>
          <w:lang w:bidi="ar-SA"/>
        </w:rPr>
      </w:pPr>
      <w:r>
        <w:rPr>
          <w:lang w:bidi="ar-SA"/>
        </w:rPr>
        <w:t>3-Projet de groupe et exposés</w:t>
      </w:r>
    </w:p>
    <w:p w:rsidR="00E26E37" w:rsidRDefault="00E26E37" w:rsidP="00E26E37">
      <w:pP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0000FF"/>
          <w:lang w:bidi="ar-SA"/>
        </w:rPr>
      </w:pPr>
      <w:r>
        <w:rPr>
          <w:rFonts w:eastAsia="Rockwell"/>
          <w:b/>
          <w:bCs/>
          <w:color w:val="0000FF"/>
          <w:lang w:bidi="ar-SA"/>
        </w:rPr>
        <w:t>6- Examens et évaluation des connaissances</w:t>
      </w: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 xml:space="preserve">6.1- Méthode d’évaluation et régime d’examens </w:t>
      </w:r>
      <w:r>
        <w:rPr>
          <w:rFonts w:eastAsia="Rockwell"/>
          <w:color w:val="810000"/>
          <w:lang w:bidi="ar-SA"/>
        </w:rPr>
        <w:t>(Préciser le régime d’évaluation préconisé : contrôle continu uniquement ou, régime mixte c.à.d. contrôle continue et examens finaux)</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xml:space="preserve">- </w:t>
      </w:r>
      <w:r>
        <w:rPr>
          <w:lang w:bidi="ar-SA"/>
        </w:rPr>
        <w:t xml:space="preserve">Régime Mixte </w:t>
      </w: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810000"/>
          <w:lang w:bidi="ar-SA"/>
        </w:rPr>
      </w:pP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 xml:space="preserve">6.2 - Validation de l’UE </w:t>
      </w:r>
      <w:r>
        <w:rPr>
          <w:rFonts w:eastAsia="Rockwell"/>
          <w:color w:val="810000"/>
          <w:lang w:bidi="ar-SA"/>
        </w:rPr>
        <w:t>(préciser les poids des épreuves d’examens pour le calcul de la moyenne de l’ECUE, les coefficients des ECUE et le coefficient de l’UE au sein du parcours).</w:t>
      </w:r>
    </w:p>
    <w:p w:rsidR="00E26E37" w:rsidRDefault="00E26E37" w:rsidP="00E26E37">
      <w:pPr>
        <w:autoSpaceDE w:val="0"/>
        <w:autoSpaceDN w:val="0"/>
        <w:adjustRightInd w:val="0"/>
        <w:rPr>
          <w:rFonts w:eastAsia="Rockwell"/>
          <w:color w:val="0000FF"/>
          <w:lang w:bidi="ar-SA"/>
        </w:rPr>
      </w:pPr>
    </w:p>
    <w:tbl>
      <w:tblPr>
        <w:tblW w:w="10594" w:type="dxa"/>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9"/>
        <w:gridCol w:w="656"/>
        <w:gridCol w:w="923"/>
        <w:gridCol w:w="656"/>
        <w:gridCol w:w="1376"/>
        <w:gridCol w:w="776"/>
        <w:gridCol w:w="572"/>
        <w:gridCol w:w="694"/>
        <w:gridCol w:w="1376"/>
        <w:gridCol w:w="861"/>
        <w:gridCol w:w="905"/>
      </w:tblGrid>
      <w:tr w:rsidR="00E26E37" w:rsidRPr="000A0628" w:rsidTr="001A61E6">
        <w:tc>
          <w:tcPr>
            <w:tcW w:w="1799" w:type="dxa"/>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ECE</w:t>
            </w:r>
          </w:p>
        </w:tc>
        <w:tc>
          <w:tcPr>
            <w:tcW w:w="3611" w:type="dxa"/>
            <w:gridSpan w:val="4"/>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Contrôle Continu  </w:t>
            </w:r>
          </w:p>
        </w:tc>
        <w:tc>
          <w:tcPr>
            <w:tcW w:w="3418" w:type="dxa"/>
            <w:gridSpan w:val="4"/>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Examen final </w:t>
            </w:r>
          </w:p>
        </w:tc>
        <w:tc>
          <w:tcPr>
            <w:tcW w:w="861"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Coef</w:t>
            </w:r>
            <w:proofErr w:type="spellEnd"/>
            <w:r w:rsidRPr="00404595">
              <w:rPr>
                <w:rFonts w:eastAsia="Rockwell"/>
                <w:sz w:val="20"/>
                <w:szCs w:val="20"/>
                <w:lang w:bidi="ar-SA"/>
              </w:rPr>
              <w:t xml:space="preserve"> de l’ECUE</w:t>
            </w:r>
          </w:p>
        </w:tc>
        <w:tc>
          <w:tcPr>
            <w:tcW w:w="905" w:type="dxa"/>
            <w:tcBorders>
              <w:lef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Coef</w:t>
            </w:r>
            <w:proofErr w:type="spellEnd"/>
            <w:r w:rsidRPr="00404595">
              <w:rPr>
                <w:rFonts w:eastAsia="Rockwell"/>
                <w:sz w:val="20"/>
                <w:szCs w:val="20"/>
                <w:lang w:bidi="ar-SA"/>
              </w:rPr>
              <w:t xml:space="preserve"> de l’UE au sein du parcours</w:t>
            </w:r>
          </w:p>
        </w:tc>
      </w:tr>
      <w:tr w:rsidR="008532FC" w:rsidRPr="00404595" w:rsidTr="001A61E6">
        <w:tc>
          <w:tcPr>
            <w:tcW w:w="1799" w:type="dxa"/>
          </w:tcPr>
          <w:p w:rsidR="008532FC" w:rsidRPr="00404595" w:rsidRDefault="008532FC" w:rsidP="00CD0AE9">
            <w:pPr>
              <w:autoSpaceDE w:val="0"/>
              <w:autoSpaceDN w:val="0"/>
              <w:adjustRightInd w:val="0"/>
              <w:rPr>
                <w:rFonts w:eastAsia="Rockwell"/>
                <w:lang w:bidi="ar-SA"/>
              </w:rPr>
            </w:pPr>
          </w:p>
        </w:tc>
        <w:tc>
          <w:tcPr>
            <w:tcW w:w="2235" w:type="dxa"/>
            <w:gridSpan w:val="3"/>
            <w:tcBorders>
              <w:right w:val="single" w:sz="4" w:space="0" w:color="auto"/>
            </w:tcBorders>
          </w:tcPr>
          <w:p w:rsidR="008532FC" w:rsidRPr="00404595" w:rsidRDefault="008532FC" w:rsidP="00CD0AE9">
            <w:pPr>
              <w:autoSpaceDE w:val="0"/>
              <w:autoSpaceDN w:val="0"/>
              <w:adjustRightInd w:val="0"/>
              <w:rPr>
                <w:rFonts w:eastAsia="Rockwell"/>
                <w:lang w:bidi="ar-SA"/>
              </w:rPr>
            </w:pPr>
            <w:r w:rsidRPr="00404595">
              <w:rPr>
                <w:rFonts w:eastAsia="Rockwell"/>
                <w:lang w:bidi="ar-SA"/>
              </w:rPr>
              <w:t>Epreuves</w:t>
            </w:r>
          </w:p>
        </w:tc>
        <w:tc>
          <w:tcPr>
            <w:tcW w:w="1376" w:type="dxa"/>
            <w:tcBorders>
              <w:left w:val="single" w:sz="4" w:space="0" w:color="auto"/>
            </w:tcBorders>
          </w:tcPr>
          <w:p w:rsidR="008532FC" w:rsidRPr="00404595" w:rsidRDefault="008532FC" w:rsidP="00CD0AE9">
            <w:pPr>
              <w:autoSpaceDE w:val="0"/>
              <w:autoSpaceDN w:val="0"/>
              <w:adjustRightInd w:val="0"/>
              <w:rPr>
                <w:rFonts w:eastAsia="Rockwell"/>
                <w:lang w:bidi="ar-SA"/>
              </w:rPr>
            </w:pPr>
            <w:r w:rsidRPr="00404595">
              <w:rPr>
                <w:rFonts w:eastAsia="Rockwell"/>
                <w:lang w:bidi="ar-SA"/>
              </w:rPr>
              <w:t>Pondération</w:t>
            </w:r>
          </w:p>
        </w:tc>
        <w:tc>
          <w:tcPr>
            <w:tcW w:w="2042" w:type="dxa"/>
            <w:gridSpan w:val="3"/>
            <w:tcBorders>
              <w:right w:val="single" w:sz="4" w:space="0" w:color="auto"/>
            </w:tcBorders>
          </w:tcPr>
          <w:p w:rsidR="008532FC" w:rsidRPr="00404595" w:rsidRDefault="008532FC" w:rsidP="00CD0AE9">
            <w:pPr>
              <w:autoSpaceDE w:val="0"/>
              <w:autoSpaceDN w:val="0"/>
              <w:adjustRightInd w:val="0"/>
              <w:rPr>
                <w:rFonts w:eastAsia="Rockwell"/>
                <w:lang w:bidi="ar-SA"/>
              </w:rPr>
            </w:pPr>
            <w:r w:rsidRPr="00404595">
              <w:rPr>
                <w:rFonts w:eastAsia="Rockwell"/>
                <w:lang w:bidi="ar-SA"/>
              </w:rPr>
              <w:t>Epreuves</w:t>
            </w:r>
          </w:p>
        </w:tc>
        <w:tc>
          <w:tcPr>
            <w:tcW w:w="1376" w:type="dxa"/>
            <w:tcBorders>
              <w:left w:val="single" w:sz="4" w:space="0" w:color="auto"/>
              <w:right w:val="single" w:sz="4" w:space="0" w:color="auto"/>
            </w:tcBorders>
          </w:tcPr>
          <w:p w:rsidR="008532FC" w:rsidRPr="00404595" w:rsidRDefault="008532FC" w:rsidP="00CD0AE9">
            <w:pPr>
              <w:autoSpaceDE w:val="0"/>
              <w:autoSpaceDN w:val="0"/>
              <w:adjustRightInd w:val="0"/>
              <w:rPr>
                <w:rFonts w:eastAsia="Rockwell"/>
                <w:lang w:bidi="ar-SA"/>
              </w:rPr>
            </w:pPr>
            <w:r w:rsidRPr="00404595">
              <w:rPr>
                <w:rFonts w:eastAsia="Rockwell"/>
                <w:lang w:bidi="ar-SA"/>
              </w:rPr>
              <w:t>Pondération</w:t>
            </w:r>
          </w:p>
        </w:tc>
        <w:tc>
          <w:tcPr>
            <w:tcW w:w="861" w:type="dxa"/>
            <w:tcBorders>
              <w:left w:val="single" w:sz="4" w:space="0" w:color="auto"/>
              <w:right w:val="single" w:sz="4" w:space="0" w:color="auto"/>
            </w:tcBorders>
          </w:tcPr>
          <w:p w:rsidR="008532FC" w:rsidRPr="00404595" w:rsidRDefault="008532FC" w:rsidP="00CD0AE9">
            <w:pPr>
              <w:autoSpaceDE w:val="0"/>
              <w:autoSpaceDN w:val="0"/>
              <w:adjustRightInd w:val="0"/>
              <w:rPr>
                <w:rFonts w:eastAsia="Rockwell"/>
                <w:lang w:bidi="ar-SA"/>
              </w:rPr>
            </w:pPr>
          </w:p>
        </w:tc>
        <w:tc>
          <w:tcPr>
            <w:tcW w:w="905" w:type="dxa"/>
            <w:vMerge w:val="restart"/>
            <w:tcBorders>
              <w:left w:val="single" w:sz="4" w:space="0" w:color="auto"/>
            </w:tcBorders>
            <w:vAlign w:val="center"/>
          </w:tcPr>
          <w:p w:rsidR="008532FC" w:rsidRPr="00404595" w:rsidRDefault="001A61E6" w:rsidP="00CD0AE9">
            <w:pPr>
              <w:autoSpaceDE w:val="0"/>
              <w:autoSpaceDN w:val="0"/>
              <w:adjustRightInd w:val="0"/>
              <w:jc w:val="center"/>
              <w:rPr>
                <w:rFonts w:eastAsia="Rockwell"/>
                <w:lang w:bidi="ar-SA"/>
              </w:rPr>
            </w:pPr>
            <w:r>
              <w:rPr>
                <w:rFonts w:eastAsia="Rockwell"/>
                <w:lang w:bidi="ar-SA"/>
              </w:rPr>
              <w:t>5</w:t>
            </w:r>
          </w:p>
        </w:tc>
      </w:tr>
      <w:tr w:rsidR="008532FC" w:rsidRPr="00404595" w:rsidTr="001A61E6">
        <w:tc>
          <w:tcPr>
            <w:tcW w:w="1799" w:type="dxa"/>
          </w:tcPr>
          <w:p w:rsidR="008532FC" w:rsidRPr="00404595" w:rsidRDefault="008532FC" w:rsidP="00CD0AE9">
            <w:pPr>
              <w:autoSpaceDE w:val="0"/>
              <w:autoSpaceDN w:val="0"/>
              <w:adjustRightInd w:val="0"/>
              <w:rPr>
                <w:rFonts w:eastAsia="Rockwell"/>
                <w:color w:val="0000FF"/>
                <w:lang w:bidi="ar-SA"/>
              </w:rPr>
            </w:pPr>
          </w:p>
        </w:tc>
        <w:tc>
          <w:tcPr>
            <w:tcW w:w="656" w:type="dxa"/>
            <w:tcBorders>
              <w:right w:val="single" w:sz="4" w:space="0" w:color="auto"/>
            </w:tcBorders>
          </w:tcPr>
          <w:p w:rsidR="008532FC" w:rsidRPr="00404595" w:rsidRDefault="008532FC" w:rsidP="00CD0AE9">
            <w:pPr>
              <w:autoSpaceDE w:val="0"/>
              <w:autoSpaceDN w:val="0"/>
              <w:adjustRightInd w:val="0"/>
              <w:rPr>
                <w:rFonts w:eastAsia="Rockwell"/>
                <w:sz w:val="20"/>
                <w:szCs w:val="20"/>
                <w:lang w:bidi="ar-SA"/>
              </w:rPr>
            </w:pPr>
            <w:r w:rsidRPr="00404595">
              <w:rPr>
                <w:rFonts w:eastAsia="Rockwell"/>
                <w:sz w:val="20"/>
                <w:szCs w:val="20"/>
                <w:lang w:bidi="ar-SA"/>
              </w:rPr>
              <w:t xml:space="preserve">Ecrit </w:t>
            </w:r>
          </w:p>
        </w:tc>
        <w:tc>
          <w:tcPr>
            <w:tcW w:w="923" w:type="dxa"/>
            <w:tcBorders>
              <w:left w:val="single" w:sz="4" w:space="0" w:color="auto"/>
              <w:right w:val="single" w:sz="4" w:space="0" w:color="auto"/>
            </w:tcBorders>
          </w:tcPr>
          <w:p w:rsidR="008532FC" w:rsidRPr="00404595" w:rsidRDefault="008532FC" w:rsidP="00CD0AE9">
            <w:pPr>
              <w:autoSpaceDE w:val="0"/>
              <w:autoSpaceDN w:val="0"/>
              <w:adjustRightInd w:val="0"/>
              <w:rPr>
                <w:rFonts w:eastAsia="Rockwell"/>
                <w:sz w:val="20"/>
                <w:szCs w:val="20"/>
                <w:lang w:bidi="ar-SA"/>
              </w:rPr>
            </w:pPr>
            <w:r w:rsidRPr="00404595">
              <w:rPr>
                <w:rFonts w:eastAsia="Rockwell"/>
                <w:sz w:val="20"/>
                <w:szCs w:val="20"/>
                <w:lang w:bidi="ar-SA"/>
              </w:rPr>
              <w:t xml:space="preserve">Oral </w:t>
            </w:r>
          </w:p>
        </w:tc>
        <w:tc>
          <w:tcPr>
            <w:tcW w:w="656" w:type="dxa"/>
            <w:tcBorders>
              <w:left w:val="single" w:sz="4" w:space="0" w:color="auto"/>
              <w:right w:val="single" w:sz="4" w:space="0" w:color="auto"/>
            </w:tcBorders>
          </w:tcPr>
          <w:p w:rsidR="008532FC" w:rsidRPr="00404595" w:rsidRDefault="008532FC" w:rsidP="00CD0AE9">
            <w:pPr>
              <w:autoSpaceDE w:val="0"/>
              <w:autoSpaceDN w:val="0"/>
              <w:adjustRightInd w:val="0"/>
              <w:rPr>
                <w:rFonts w:eastAsia="Rockwell"/>
                <w:sz w:val="20"/>
                <w:szCs w:val="20"/>
                <w:lang w:bidi="ar-SA"/>
              </w:rPr>
            </w:pPr>
            <w:r w:rsidRPr="00404595">
              <w:rPr>
                <w:rFonts w:eastAsia="Rockwell"/>
                <w:sz w:val="20"/>
                <w:szCs w:val="20"/>
                <w:lang w:bidi="ar-SA"/>
              </w:rPr>
              <w:t>TP et autre</w:t>
            </w:r>
          </w:p>
        </w:tc>
        <w:tc>
          <w:tcPr>
            <w:tcW w:w="1376" w:type="dxa"/>
            <w:tcBorders>
              <w:left w:val="single" w:sz="4" w:space="0" w:color="auto"/>
            </w:tcBorders>
          </w:tcPr>
          <w:p w:rsidR="008532FC" w:rsidRPr="00404595" w:rsidRDefault="008532FC" w:rsidP="00CD0AE9">
            <w:pPr>
              <w:autoSpaceDE w:val="0"/>
              <w:autoSpaceDN w:val="0"/>
              <w:adjustRightInd w:val="0"/>
              <w:rPr>
                <w:rFonts w:eastAsia="Rockwell"/>
                <w:sz w:val="20"/>
                <w:szCs w:val="20"/>
                <w:lang w:bidi="ar-SA"/>
              </w:rPr>
            </w:pPr>
          </w:p>
        </w:tc>
        <w:tc>
          <w:tcPr>
            <w:tcW w:w="776" w:type="dxa"/>
            <w:tcBorders>
              <w:right w:val="single" w:sz="4" w:space="0" w:color="auto"/>
            </w:tcBorders>
          </w:tcPr>
          <w:p w:rsidR="008532FC" w:rsidRPr="00404595" w:rsidRDefault="008532FC" w:rsidP="00CD0AE9">
            <w:pPr>
              <w:autoSpaceDE w:val="0"/>
              <w:autoSpaceDN w:val="0"/>
              <w:adjustRightInd w:val="0"/>
              <w:rPr>
                <w:rFonts w:eastAsia="Rockwell"/>
                <w:sz w:val="20"/>
                <w:szCs w:val="20"/>
                <w:lang w:bidi="ar-SA"/>
              </w:rPr>
            </w:pPr>
            <w:r w:rsidRPr="00404595">
              <w:rPr>
                <w:rFonts w:eastAsia="Rockwell"/>
                <w:sz w:val="20"/>
                <w:szCs w:val="20"/>
                <w:lang w:bidi="ar-SA"/>
              </w:rPr>
              <w:t xml:space="preserve">Ecrit </w:t>
            </w:r>
          </w:p>
        </w:tc>
        <w:tc>
          <w:tcPr>
            <w:tcW w:w="572" w:type="dxa"/>
            <w:tcBorders>
              <w:right w:val="single" w:sz="4" w:space="0" w:color="auto"/>
            </w:tcBorders>
          </w:tcPr>
          <w:p w:rsidR="008532FC" w:rsidRPr="00404595" w:rsidRDefault="008532FC" w:rsidP="00CD0AE9">
            <w:pPr>
              <w:autoSpaceDE w:val="0"/>
              <w:autoSpaceDN w:val="0"/>
              <w:adjustRightInd w:val="0"/>
              <w:rPr>
                <w:rFonts w:eastAsia="Rockwell"/>
                <w:sz w:val="20"/>
                <w:szCs w:val="20"/>
                <w:lang w:bidi="ar-SA"/>
              </w:rPr>
            </w:pPr>
            <w:r w:rsidRPr="00404595">
              <w:rPr>
                <w:rFonts w:eastAsia="Rockwell"/>
                <w:sz w:val="20"/>
                <w:szCs w:val="20"/>
                <w:lang w:bidi="ar-SA"/>
              </w:rPr>
              <w:t>Oral</w:t>
            </w:r>
          </w:p>
        </w:tc>
        <w:tc>
          <w:tcPr>
            <w:tcW w:w="694" w:type="dxa"/>
            <w:tcBorders>
              <w:right w:val="single" w:sz="4" w:space="0" w:color="auto"/>
            </w:tcBorders>
          </w:tcPr>
          <w:p w:rsidR="008532FC" w:rsidRPr="00404595" w:rsidRDefault="008532FC"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Tp</w:t>
            </w:r>
            <w:proofErr w:type="spellEnd"/>
            <w:r w:rsidRPr="00404595">
              <w:rPr>
                <w:rFonts w:eastAsia="Rockwell"/>
                <w:sz w:val="20"/>
                <w:szCs w:val="20"/>
                <w:lang w:bidi="ar-SA"/>
              </w:rPr>
              <w:t xml:space="preserve"> et autres</w:t>
            </w:r>
          </w:p>
        </w:tc>
        <w:tc>
          <w:tcPr>
            <w:tcW w:w="1376" w:type="dxa"/>
            <w:tcBorders>
              <w:left w:val="single" w:sz="4" w:space="0" w:color="auto"/>
              <w:right w:val="single" w:sz="4" w:space="0" w:color="auto"/>
            </w:tcBorders>
          </w:tcPr>
          <w:p w:rsidR="008532FC" w:rsidRPr="00404595" w:rsidRDefault="008532FC" w:rsidP="00CD0AE9">
            <w:pPr>
              <w:autoSpaceDE w:val="0"/>
              <w:autoSpaceDN w:val="0"/>
              <w:adjustRightInd w:val="0"/>
              <w:rPr>
                <w:rFonts w:eastAsia="Rockwell"/>
                <w:color w:val="0000FF"/>
                <w:lang w:bidi="ar-SA"/>
              </w:rPr>
            </w:pPr>
          </w:p>
        </w:tc>
        <w:tc>
          <w:tcPr>
            <w:tcW w:w="861" w:type="dxa"/>
            <w:tcBorders>
              <w:left w:val="single" w:sz="4" w:space="0" w:color="auto"/>
              <w:right w:val="single" w:sz="4" w:space="0" w:color="auto"/>
            </w:tcBorders>
          </w:tcPr>
          <w:p w:rsidR="008532FC" w:rsidRPr="00404595" w:rsidRDefault="008532FC" w:rsidP="00CD0AE9">
            <w:pPr>
              <w:autoSpaceDE w:val="0"/>
              <w:autoSpaceDN w:val="0"/>
              <w:adjustRightInd w:val="0"/>
              <w:rPr>
                <w:rFonts w:eastAsia="Rockwell"/>
                <w:color w:val="0000FF"/>
                <w:lang w:bidi="ar-SA"/>
              </w:rPr>
            </w:pPr>
          </w:p>
        </w:tc>
        <w:tc>
          <w:tcPr>
            <w:tcW w:w="905" w:type="dxa"/>
            <w:vMerge/>
            <w:tcBorders>
              <w:left w:val="single" w:sz="4" w:space="0" w:color="auto"/>
            </w:tcBorders>
          </w:tcPr>
          <w:p w:rsidR="008532FC" w:rsidRPr="00404595" w:rsidRDefault="008532FC" w:rsidP="00CD0AE9">
            <w:pPr>
              <w:autoSpaceDE w:val="0"/>
              <w:autoSpaceDN w:val="0"/>
              <w:adjustRightInd w:val="0"/>
              <w:rPr>
                <w:rFonts w:eastAsia="Rockwell"/>
                <w:color w:val="0000FF"/>
                <w:lang w:bidi="ar-SA"/>
              </w:rPr>
            </w:pPr>
          </w:p>
        </w:tc>
      </w:tr>
      <w:tr w:rsidR="008532FC" w:rsidRPr="00404595" w:rsidTr="001A61E6">
        <w:trPr>
          <w:trHeight w:val="835"/>
        </w:trPr>
        <w:tc>
          <w:tcPr>
            <w:tcW w:w="1799" w:type="dxa"/>
            <w:vAlign w:val="center"/>
          </w:tcPr>
          <w:p w:rsidR="008532FC" w:rsidRPr="00EB2259" w:rsidRDefault="008D184C" w:rsidP="00CD0AE9">
            <w:pPr>
              <w:pStyle w:val="Contenudetableau"/>
              <w:snapToGrid w:val="0"/>
              <w:jc w:val="center"/>
              <w:rPr>
                <w:rFonts w:eastAsia="TimesNewRomanPS-BoldMT" w:cs="Times New Roman"/>
                <w:sz w:val="18"/>
                <w:szCs w:val="18"/>
              </w:rPr>
            </w:pPr>
            <w:r>
              <w:rPr>
                <w:rFonts w:eastAsia="TimesNewRomanPS-BoldMT" w:cs="Times New Roman"/>
                <w:sz w:val="18"/>
                <w:szCs w:val="18"/>
              </w:rPr>
              <w:t xml:space="preserve"> veille stratégique </w:t>
            </w:r>
          </w:p>
        </w:tc>
        <w:tc>
          <w:tcPr>
            <w:tcW w:w="656" w:type="dxa"/>
            <w:tcBorders>
              <w:right w:val="single" w:sz="4" w:space="0" w:color="auto"/>
            </w:tcBorders>
            <w:vAlign w:val="center"/>
          </w:tcPr>
          <w:p w:rsidR="008532FC" w:rsidRPr="00511E67" w:rsidRDefault="008532FC" w:rsidP="00CD0AE9">
            <w:pPr>
              <w:autoSpaceDE w:val="0"/>
              <w:autoSpaceDN w:val="0"/>
              <w:adjustRightInd w:val="0"/>
              <w:jc w:val="center"/>
              <w:rPr>
                <w:rFonts w:eastAsia="Rockwell"/>
                <w:lang w:bidi="ar-SA"/>
              </w:rPr>
            </w:pPr>
            <w:r w:rsidRPr="00511E67">
              <w:rPr>
                <w:rFonts w:eastAsia="Rockwell"/>
                <w:lang w:bidi="ar-SA"/>
              </w:rPr>
              <w:t>70%</w:t>
            </w:r>
          </w:p>
        </w:tc>
        <w:tc>
          <w:tcPr>
            <w:tcW w:w="923" w:type="dxa"/>
            <w:tcBorders>
              <w:left w:val="single" w:sz="4" w:space="0" w:color="auto"/>
              <w:right w:val="single" w:sz="4" w:space="0" w:color="auto"/>
            </w:tcBorders>
            <w:vAlign w:val="center"/>
          </w:tcPr>
          <w:p w:rsidR="008532FC" w:rsidRPr="00511E67" w:rsidRDefault="008D184C" w:rsidP="00CD0AE9">
            <w:pPr>
              <w:autoSpaceDE w:val="0"/>
              <w:autoSpaceDN w:val="0"/>
              <w:adjustRightInd w:val="0"/>
              <w:jc w:val="center"/>
              <w:rPr>
                <w:rFonts w:eastAsia="Rockwell"/>
                <w:lang w:bidi="ar-SA"/>
              </w:rPr>
            </w:pPr>
            <w:r>
              <w:rPr>
                <w:rFonts w:eastAsia="Rockwell"/>
                <w:lang w:bidi="ar-SA"/>
              </w:rPr>
              <w:t>Exposé 30%</w:t>
            </w:r>
          </w:p>
        </w:tc>
        <w:tc>
          <w:tcPr>
            <w:tcW w:w="656" w:type="dxa"/>
            <w:tcBorders>
              <w:left w:val="single" w:sz="4" w:space="0" w:color="auto"/>
              <w:right w:val="single" w:sz="4" w:space="0" w:color="auto"/>
            </w:tcBorders>
            <w:vAlign w:val="center"/>
          </w:tcPr>
          <w:p w:rsidR="008532FC" w:rsidRPr="00511E67" w:rsidRDefault="008532FC" w:rsidP="00CD0AE9">
            <w:pPr>
              <w:autoSpaceDE w:val="0"/>
              <w:autoSpaceDN w:val="0"/>
              <w:adjustRightInd w:val="0"/>
              <w:jc w:val="center"/>
              <w:rPr>
                <w:rFonts w:eastAsia="Rockwell"/>
                <w:lang w:bidi="ar-SA"/>
              </w:rPr>
            </w:pPr>
          </w:p>
        </w:tc>
        <w:tc>
          <w:tcPr>
            <w:tcW w:w="1376" w:type="dxa"/>
            <w:tcBorders>
              <w:left w:val="single" w:sz="4" w:space="0" w:color="auto"/>
            </w:tcBorders>
            <w:vAlign w:val="center"/>
          </w:tcPr>
          <w:p w:rsidR="008532FC" w:rsidRPr="00511E67" w:rsidRDefault="008532FC" w:rsidP="00CD0AE9">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8532FC" w:rsidRPr="00511E67" w:rsidRDefault="008532FC" w:rsidP="00CD0AE9">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8532FC" w:rsidRPr="00511E67" w:rsidRDefault="008532FC" w:rsidP="00CD0AE9">
            <w:pPr>
              <w:autoSpaceDE w:val="0"/>
              <w:autoSpaceDN w:val="0"/>
              <w:adjustRightInd w:val="0"/>
              <w:jc w:val="center"/>
              <w:rPr>
                <w:rFonts w:eastAsia="Rockwell"/>
                <w:lang w:bidi="ar-SA"/>
              </w:rPr>
            </w:pPr>
          </w:p>
        </w:tc>
        <w:tc>
          <w:tcPr>
            <w:tcW w:w="694" w:type="dxa"/>
            <w:tcBorders>
              <w:right w:val="single" w:sz="4" w:space="0" w:color="auto"/>
            </w:tcBorders>
            <w:vAlign w:val="center"/>
          </w:tcPr>
          <w:p w:rsidR="008532FC" w:rsidRPr="00511E67" w:rsidRDefault="008532FC" w:rsidP="00CD0AE9">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8532FC" w:rsidRPr="00511E67" w:rsidRDefault="008532FC" w:rsidP="00CD0AE9">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8532FC" w:rsidRPr="00511E67" w:rsidRDefault="001A61E6" w:rsidP="00CD0AE9">
            <w:pPr>
              <w:autoSpaceDE w:val="0"/>
              <w:autoSpaceDN w:val="0"/>
              <w:adjustRightInd w:val="0"/>
              <w:jc w:val="center"/>
              <w:rPr>
                <w:rFonts w:eastAsia="Rockwell"/>
                <w:lang w:bidi="ar-SA"/>
              </w:rPr>
            </w:pPr>
            <w:r>
              <w:rPr>
                <w:rFonts w:eastAsia="Rockwell"/>
                <w:lang w:bidi="ar-SA"/>
              </w:rPr>
              <w:t>3</w:t>
            </w:r>
          </w:p>
        </w:tc>
        <w:tc>
          <w:tcPr>
            <w:tcW w:w="905" w:type="dxa"/>
            <w:vMerge/>
            <w:tcBorders>
              <w:left w:val="single" w:sz="4" w:space="0" w:color="auto"/>
            </w:tcBorders>
          </w:tcPr>
          <w:p w:rsidR="008532FC" w:rsidRPr="00404595" w:rsidRDefault="008532FC" w:rsidP="00CD0AE9">
            <w:pPr>
              <w:autoSpaceDE w:val="0"/>
              <w:autoSpaceDN w:val="0"/>
              <w:adjustRightInd w:val="0"/>
              <w:rPr>
                <w:rFonts w:eastAsia="Rockwell"/>
                <w:color w:val="0000FF"/>
                <w:lang w:bidi="ar-SA"/>
              </w:rPr>
            </w:pPr>
          </w:p>
        </w:tc>
      </w:tr>
      <w:tr w:rsidR="008532FC" w:rsidRPr="00404595" w:rsidTr="001A61E6">
        <w:trPr>
          <w:trHeight w:val="835"/>
        </w:trPr>
        <w:tc>
          <w:tcPr>
            <w:tcW w:w="1799" w:type="dxa"/>
            <w:vAlign w:val="center"/>
          </w:tcPr>
          <w:p w:rsidR="008532FC" w:rsidRPr="008263CA" w:rsidRDefault="008532FC" w:rsidP="00CD0AE9">
            <w:pPr>
              <w:pStyle w:val="Contenudetableau"/>
              <w:snapToGrid w:val="0"/>
              <w:jc w:val="center"/>
              <w:rPr>
                <w:rFonts w:eastAsia="TimesNewRomanPS-BoldMT" w:cs="Times New Roman"/>
                <w:sz w:val="18"/>
                <w:szCs w:val="18"/>
              </w:rPr>
            </w:pPr>
            <w:r w:rsidRPr="008263CA">
              <w:rPr>
                <w:rFonts w:eastAsia="TimesNewRomanPS-BoldMT" w:cs="Times New Roman"/>
                <w:sz w:val="18"/>
                <w:szCs w:val="18"/>
              </w:rPr>
              <w:t>Economie de l’Information</w:t>
            </w:r>
          </w:p>
        </w:tc>
        <w:tc>
          <w:tcPr>
            <w:tcW w:w="656" w:type="dxa"/>
            <w:tcBorders>
              <w:right w:val="single" w:sz="4" w:space="0" w:color="auto"/>
            </w:tcBorders>
            <w:vAlign w:val="center"/>
          </w:tcPr>
          <w:p w:rsidR="008532FC" w:rsidRPr="00511E67" w:rsidRDefault="008532FC" w:rsidP="00CD0AE9">
            <w:pPr>
              <w:autoSpaceDE w:val="0"/>
              <w:autoSpaceDN w:val="0"/>
              <w:adjustRightInd w:val="0"/>
              <w:jc w:val="center"/>
              <w:rPr>
                <w:rFonts w:eastAsia="Rockwell"/>
                <w:lang w:bidi="ar-SA"/>
              </w:rPr>
            </w:pPr>
            <w:r w:rsidRPr="00511E67">
              <w:rPr>
                <w:rFonts w:eastAsia="Rockwell"/>
                <w:lang w:bidi="ar-SA"/>
              </w:rPr>
              <w:t>70%</w:t>
            </w:r>
          </w:p>
        </w:tc>
        <w:tc>
          <w:tcPr>
            <w:tcW w:w="923" w:type="dxa"/>
            <w:tcBorders>
              <w:left w:val="single" w:sz="4" w:space="0" w:color="auto"/>
              <w:right w:val="single" w:sz="4" w:space="0" w:color="auto"/>
            </w:tcBorders>
            <w:vAlign w:val="center"/>
          </w:tcPr>
          <w:p w:rsidR="008532FC" w:rsidRPr="00511E67" w:rsidRDefault="008532FC" w:rsidP="00CD0AE9">
            <w:pPr>
              <w:autoSpaceDE w:val="0"/>
              <w:autoSpaceDN w:val="0"/>
              <w:adjustRightInd w:val="0"/>
              <w:jc w:val="center"/>
              <w:rPr>
                <w:rFonts w:eastAsia="Rockwell"/>
                <w:lang w:bidi="ar-SA"/>
              </w:rPr>
            </w:pPr>
          </w:p>
        </w:tc>
        <w:tc>
          <w:tcPr>
            <w:tcW w:w="656" w:type="dxa"/>
            <w:tcBorders>
              <w:left w:val="single" w:sz="4" w:space="0" w:color="auto"/>
              <w:right w:val="single" w:sz="4" w:space="0" w:color="auto"/>
            </w:tcBorders>
            <w:vAlign w:val="center"/>
          </w:tcPr>
          <w:p w:rsidR="008532FC" w:rsidRPr="00511E67" w:rsidRDefault="008532FC" w:rsidP="00CD0AE9">
            <w:pPr>
              <w:autoSpaceDE w:val="0"/>
              <w:autoSpaceDN w:val="0"/>
              <w:adjustRightInd w:val="0"/>
              <w:jc w:val="center"/>
              <w:rPr>
                <w:rFonts w:eastAsia="Rockwell"/>
                <w:lang w:bidi="ar-SA"/>
              </w:rPr>
            </w:pPr>
            <w:r w:rsidRPr="00511E67">
              <w:rPr>
                <w:rFonts w:eastAsia="Rockwell"/>
                <w:lang w:bidi="ar-SA"/>
              </w:rPr>
              <w:t>30%</w:t>
            </w:r>
          </w:p>
        </w:tc>
        <w:tc>
          <w:tcPr>
            <w:tcW w:w="1376" w:type="dxa"/>
            <w:tcBorders>
              <w:left w:val="single" w:sz="4" w:space="0" w:color="auto"/>
            </w:tcBorders>
            <w:vAlign w:val="center"/>
          </w:tcPr>
          <w:p w:rsidR="008532FC" w:rsidRPr="00511E67" w:rsidRDefault="008532FC" w:rsidP="00CD0AE9">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8532FC" w:rsidRPr="00511E67" w:rsidRDefault="008532FC" w:rsidP="00CD0AE9">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8532FC" w:rsidRPr="00511E67" w:rsidRDefault="008532FC" w:rsidP="00CD0AE9">
            <w:pPr>
              <w:autoSpaceDE w:val="0"/>
              <w:autoSpaceDN w:val="0"/>
              <w:adjustRightInd w:val="0"/>
              <w:jc w:val="center"/>
              <w:rPr>
                <w:rFonts w:eastAsia="Rockwell"/>
                <w:lang w:bidi="ar-SA"/>
              </w:rPr>
            </w:pPr>
          </w:p>
        </w:tc>
        <w:tc>
          <w:tcPr>
            <w:tcW w:w="694" w:type="dxa"/>
            <w:tcBorders>
              <w:right w:val="single" w:sz="4" w:space="0" w:color="auto"/>
            </w:tcBorders>
            <w:vAlign w:val="center"/>
          </w:tcPr>
          <w:p w:rsidR="008532FC" w:rsidRPr="00511E67" w:rsidRDefault="008532FC" w:rsidP="00CD0AE9">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8532FC" w:rsidRPr="00511E67" w:rsidRDefault="008532FC" w:rsidP="00CD0AE9">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8532FC" w:rsidRPr="00511E67" w:rsidRDefault="001A61E6" w:rsidP="00CD0AE9">
            <w:pPr>
              <w:autoSpaceDE w:val="0"/>
              <w:autoSpaceDN w:val="0"/>
              <w:adjustRightInd w:val="0"/>
              <w:jc w:val="center"/>
              <w:rPr>
                <w:rFonts w:eastAsia="Rockwell"/>
                <w:lang w:bidi="ar-SA"/>
              </w:rPr>
            </w:pPr>
            <w:r>
              <w:rPr>
                <w:rFonts w:eastAsia="Rockwell"/>
                <w:lang w:bidi="ar-SA"/>
              </w:rPr>
              <w:t>2</w:t>
            </w:r>
          </w:p>
        </w:tc>
        <w:tc>
          <w:tcPr>
            <w:tcW w:w="905" w:type="dxa"/>
            <w:vMerge/>
            <w:tcBorders>
              <w:left w:val="single" w:sz="4" w:space="0" w:color="auto"/>
            </w:tcBorders>
          </w:tcPr>
          <w:p w:rsidR="008532FC" w:rsidRPr="00404595" w:rsidRDefault="008532FC" w:rsidP="00CD0AE9">
            <w:pPr>
              <w:autoSpaceDE w:val="0"/>
              <w:autoSpaceDN w:val="0"/>
              <w:adjustRightInd w:val="0"/>
              <w:rPr>
                <w:rFonts w:eastAsia="Rockwell"/>
                <w:color w:val="0000FF"/>
                <w:lang w:bidi="ar-SA"/>
              </w:rPr>
            </w:pPr>
          </w:p>
        </w:tc>
      </w:tr>
    </w:tbl>
    <w:p w:rsidR="00E26E37" w:rsidRDefault="00E26E37" w:rsidP="00E26E37">
      <w:pP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810000"/>
          <w:lang w:bidi="ar-SA"/>
        </w:rPr>
      </w:pP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6.3 - Validation des stages et des projets…..</w:t>
      </w:r>
    </w:p>
    <w:p w:rsidR="00E26E37" w:rsidRPr="00803DE9" w:rsidRDefault="00E26E37" w:rsidP="008D184C">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xml:space="preserve">- </w:t>
      </w:r>
      <w:r w:rsidR="008D184C">
        <w:rPr>
          <w:lang w:bidi="ar-SA"/>
        </w:rPr>
        <w:t xml:space="preserve">Projet de groupe sur les outils de veille </w:t>
      </w:r>
      <w:r w:rsidR="00E5661B">
        <w:rPr>
          <w:lang w:bidi="ar-SA"/>
        </w:rPr>
        <w:t>stratégique.</w:t>
      </w:r>
    </w:p>
    <w:p w:rsidR="00E26E37" w:rsidRPr="00803DE9" w:rsidRDefault="00E26E37" w:rsidP="0076444E">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sidRPr="00803DE9">
        <w:rPr>
          <w:lang w:bidi="ar-SA"/>
        </w:rPr>
        <w:t xml:space="preserve">2- </w:t>
      </w:r>
      <w:r w:rsidR="0076444E">
        <w:rPr>
          <w:lang w:bidi="ar-SA"/>
        </w:rPr>
        <w:t>Exposés des résultats en fin de semestre</w:t>
      </w:r>
    </w:p>
    <w:p w:rsidR="00E26E37" w:rsidRDefault="00E26E37" w:rsidP="00E26E37">
      <w:pPr>
        <w:autoSpaceDE w:val="0"/>
        <w:autoSpaceDN w:val="0"/>
        <w:adjustRightInd w:val="0"/>
        <w:rPr>
          <w:rFonts w:eastAsia="Rockwell"/>
          <w:color w:val="0000FF"/>
          <w:lang w:bidi="ar-SA"/>
        </w:rPr>
      </w:pPr>
    </w:p>
    <w:p w:rsidR="00E26E37" w:rsidRDefault="00E26E37" w:rsidP="00E26E37">
      <w:pPr>
        <w:spacing w:line="252" w:lineRule="auto"/>
        <w:rPr>
          <w:rFonts w:eastAsia="Rockwell"/>
          <w:color w:val="0000FF"/>
          <w:lang w:bidi="ar-SA"/>
        </w:rPr>
      </w:pPr>
      <w:r>
        <w:rPr>
          <w:rFonts w:eastAsia="Rockwell"/>
          <w:color w:val="0000FF"/>
          <w:lang w:bidi="ar-SA"/>
        </w:rPr>
        <w:br w:type="page"/>
      </w:r>
    </w:p>
    <w:p w:rsidR="00A522A6" w:rsidRPr="00D8761D" w:rsidRDefault="00A522A6" w:rsidP="00A522A6">
      <w:pPr>
        <w:jc w:val="center"/>
        <w:rPr>
          <w:rFonts w:eastAsia="Rockwell"/>
          <w:b/>
          <w:bCs/>
          <w:color w:val="0000FF"/>
          <w:sz w:val="32"/>
          <w:szCs w:val="32"/>
          <w:lang w:bidi="ar-SA"/>
        </w:rPr>
      </w:pPr>
      <w:r>
        <w:rPr>
          <w:rFonts w:eastAsia="Rockwell"/>
          <w:b/>
          <w:bCs/>
          <w:color w:val="0000FF"/>
          <w:sz w:val="32"/>
          <w:szCs w:val="32"/>
          <w:lang w:bidi="ar-SA"/>
        </w:rPr>
        <w:lastRenderedPageBreak/>
        <w:t>ECUE n° 1 : Veille Stratégique</w:t>
      </w:r>
    </w:p>
    <w:p w:rsidR="00A522A6" w:rsidRDefault="00A522A6" w:rsidP="00A522A6">
      <w:pPr>
        <w:autoSpaceDE w:val="0"/>
        <w:autoSpaceDN w:val="0"/>
        <w:adjustRightInd w:val="0"/>
        <w:jc w:val="center"/>
        <w:rPr>
          <w:rFonts w:eastAsia="Rockwell"/>
          <w:b/>
          <w:bCs/>
          <w:color w:val="0000FF"/>
          <w:sz w:val="32"/>
          <w:szCs w:val="32"/>
          <w:lang w:bidi="ar-SA"/>
        </w:rPr>
      </w:pPr>
    </w:p>
    <w:p w:rsidR="00A522A6" w:rsidRDefault="00A522A6" w:rsidP="00A522A6">
      <w:pPr>
        <w:autoSpaceDE w:val="0"/>
        <w:autoSpaceDN w:val="0"/>
        <w:adjustRightInd w:val="0"/>
        <w:jc w:val="center"/>
        <w:rPr>
          <w:rFonts w:eastAsia="Rockwell"/>
          <w:b/>
          <w:bCs/>
          <w:color w:val="0000FF"/>
          <w:sz w:val="32"/>
          <w:szCs w:val="32"/>
          <w:lang w:bidi="ar-SA"/>
        </w:rPr>
      </w:pPr>
      <w:r>
        <w:rPr>
          <w:rFonts w:eastAsia="Rockwell"/>
          <w:b/>
          <w:bCs/>
          <w:color w:val="0000FF"/>
          <w:sz w:val="32"/>
          <w:szCs w:val="32"/>
          <w:lang w:bidi="ar-SA"/>
        </w:rPr>
        <w:t>Code UE23</w:t>
      </w:r>
    </w:p>
    <w:p w:rsidR="00A522A6" w:rsidRDefault="00A522A6" w:rsidP="00A522A6">
      <w:pPr>
        <w:autoSpaceDE w:val="0"/>
        <w:autoSpaceDN w:val="0"/>
        <w:adjustRightInd w:val="0"/>
        <w:jc w:val="center"/>
        <w:rPr>
          <w:rFonts w:eastAsia="Rockwell"/>
          <w:b/>
          <w:bCs/>
          <w:color w:val="0000FF"/>
          <w:sz w:val="32"/>
          <w:szCs w:val="32"/>
          <w:lang w:bidi="ar-SA"/>
        </w:rPr>
      </w:pPr>
    </w:p>
    <w:p w:rsidR="00A522A6" w:rsidRDefault="00A522A6" w:rsidP="00A522A6">
      <w:pPr>
        <w:autoSpaceDE w:val="0"/>
        <w:autoSpaceDN w:val="0"/>
        <w:adjustRightInd w:val="0"/>
        <w:jc w:val="center"/>
        <w:rPr>
          <w:rFonts w:eastAsia="Rockwell"/>
          <w:color w:val="000000"/>
          <w:sz w:val="20"/>
          <w:szCs w:val="20"/>
          <w:lang w:bidi="ar-SA"/>
        </w:rPr>
      </w:pPr>
    </w:p>
    <w:p w:rsidR="00A522A6" w:rsidRPr="00A522A6" w:rsidRDefault="00A522A6" w:rsidP="00A651FE">
      <w:pPr>
        <w:jc w:val="both"/>
        <w:rPr>
          <w:rFonts w:asciiTheme="majorBidi" w:hAnsiTheme="majorBidi" w:cstheme="majorBidi"/>
          <w:b/>
          <w:bCs/>
          <w:u w:val="single"/>
        </w:rPr>
      </w:pPr>
      <w:r w:rsidRPr="00A522A6">
        <w:rPr>
          <w:rFonts w:asciiTheme="majorBidi" w:hAnsiTheme="majorBidi" w:cstheme="majorBidi"/>
          <w:b/>
          <w:bCs/>
          <w:u w:val="single"/>
        </w:rPr>
        <w:t xml:space="preserve">Objectifs </w:t>
      </w:r>
    </w:p>
    <w:p w:rsidR="00A522A6" w:rsidRDefault="00A522A6" w:rsidP="00A651FE">
      <w:pPr>
        <w:jc w:val="both"/>
        <w:rPr>
          <w:rFonts w:asciiTheme="majorBidi" w:hAnsiTheme="majorBidi" w:cstheme="majorBidi"/>
        </w:rPr>
      </w:pPr>
      <w:r>
        <w:rPr>
          <w:rFonts w:asciiTheme="majorBidi" w:hAnsiTheme="majorBidi" w:cstheme="majorBidi"/>
        </w:rPr>
        <w:t>Comprendre les concepts de base relatifs à la veille</w:t>
      </w:r>
    </w:p>
    <w:p w:rsidR="00A522A6" w:rsidRDefault="00A522A6" w:rsidP="00A651FE">
      <w:pPr>
        <w:jc w:val="both"/>
        <w:rPr>
          <w:rFonts w:asciiTheme="majorBidi" w:hAnsiTheme="majorBidi" w:cstheme="majorBidi"/>
        </w:rPr>
      </w:pPr>
      <w:r>
        <w:rPr>
          <w:rFonts w:asciiTheme="majorBidi" w:hAnsiTheme="majorBidi" w:cstheme="majorBidi"/>
        </w:rPr>
        <w:t xml:space="preserve">Maitriser les outils de veille </w:t>
      </w:r>
    </w:p>
    <w:p w:rsidR="00A522A6" w:rsidRDefault="00A522A6" w:rsidP="00A651FE">
      <w:pPr>
        <w:jc w:val="both"/>
        <w:rPr>
          <w:rFonts w:asciiTheme="majorBidi" w:hAnsiTheme="majorBidi" w:cstheme="majorBidi"/>
        </w:rPr>
      </w:pPr>
    </w:p>
    <w:p w:rsidR="00A522A6" w:rsidRPr="00D57F4F" w:rsidRDefault="00A522A6" w:rsidP="00A651FE">
      <w:pPr>
        <w:jc w:val="both"/>
        <w:rPr>
          <w:rFonts w:asciiTheme="majorBidi" w:hAnsiTheme="majorBidi" w:cstheme="majorBidi"/>
          <w:b/>
          <w:bCs/>
          <w:u w:val="single"/>
        </w:rPr>
      </w:pPr>
      <w:r w:rsidRPr="00D57F4F">
        <w:rPr>
          <w:rFonts w:asciiTheme="majorBidi" w:hAnsiTheme="majorBidi" w:cstheme="majorBidi"/>
          <w:b/>
          <w:bCs/>
          <w:u w:val="single"/>
        </w:rPr>
        <w:t>Plan</w:t>
      </w:r>
    </w:p>
    <w:p w:rsidR="00A522A6" w:rsidRDefault="00A522A6" w:rsidP="00A651FE">
      <w:pPr>
        <w:jc w:val="both"/>
        <w:rPr>
          <w:rFonts w:asciiTheme="majorBidi" w:hAnsiTheme="majorBidi" w:cstheme="majorBidi"/>
        </w:rPr>
      </w:pPr>
    </w:p>
    <w:p w:rsidR="00A522A6" w:rsidRPr="00D57F4F" w:rsidRDefault="00A522A6" w:rsidP="00D57F4F">
      <w:pPr>
        <w:pStyle w:val="Paragraphedeliste"/>
        <w:numPr>
          <w:ilvl w:val="0"/>
          <w:numId w:val="5"/>
        </w:numPr>
        <w:spacing w:before="240" w:line="360" w:lineRule="auto"/>
        <w:jc w:val="both"/>
        <w:rPr>
          <w:rFonts w:asciiTheme="majorBidi" w:hAnsiTheme="majorBidi" w:cstheme="majorBidi"/>
        </w:rPr>
      </w:pPr>
      <w:r w:rsidRPr="00D57F4F">
        <w:rPr>
          <w:rFonts w:asciiTheme="majorBidi" w:hAnsiTheme="majorBidi" w:cstheme="majorBidi"/>
        </w:rPr>
        <w:t xml:space="preserve">Concepts de base de la veille stratégique </w:t>
      </w:r>
    </w:p>
    <w:p w:rsidR="00A522A6" w:rsidRPr="00D57F4F" w:rsidRDefault="00A522A6" w:rsidP="00D57F4F">
      <w:pPr>
        <w:pStyle w:val="Paragraphedeliste"/>
        <w:numPr>
          <w:ilvl w:val="0"/>
          <w:numId w:val="5"/>
        </w:numPr>
        <w:spacing w:before="240" w:line="360" w:lineRule="auto"/>
        <w:jc w:val="both"/>
        <w:rPr>
          <w:rFonts w:asciiTheme="majorBidi" w:hAnsiTheme="majorBidi" w:cstheme="majorBidi"/>
        </w:rPr>
      </w:pPr>
      <w:r w:rsidRPr="00D57F4F">
        <w:rPr>
          <w:rFonts w:asciiTheme="majorBidi" w:hAnsiTheme="majorBidi" w:cstheme="majorBidi"/>
        </w:rPr>
        <w:t>Typologie de la veille</w:t>
      </w:r>
      <w:r w:rsidR="003361D7" w:rsidRPr="00D57F4F">
        <w:rPr>
          <w:rFonts w:asciiTheme="majorBidi" w:hAnsiTheme="majorBidi" w:cstheme="majorBidi"/>
        </w:rPr>
        <w:t xml:space="preserve"> et stratégies organisationnelles </w:t>
      </w:r>
    </w:p>
    <w:p w:rsidR="00A522A6" w:rsidRPr="00D57F4F" w:rsidRDefault="00A522A6" w:rsidP="00D57F4F">
      <w:pPr>
        <w:pStyle w:val="Paragraphedeliste"/>
        <w:numPr>
          <w:ilvl w:val="0"/>
          <w:numId w:val="5"/>
        </w:numPr>
        <w:spacing w:before="240" w:line="360" w:lineRule="auto"/>
        <w:jc w:val="both"/>
        <w:rPr>
          <w:rFonts w:asciiTheme="majorBidi" w:hAnsiTheme="majorBidi" w:cstheme="majorBidi"/>
        </w:rPr>
      </w:pPr>
      <w:r w:rsidRPr="00D57F4F">
        <w:rPr>
          <w:rFonts w:asciiTheme="majorBidi" w:hAnsiTheme="majorBidi" w:cstheme="majorBidi"/>
        </w:rPr>
        <w:t>L</w:t>
      </w:r>
      <w:r w:rsidR="00D57F4F" w:rsidRPr="00D57F4F">
        <w:rPr>
          <w:rFonts w:asciiTheme="majorBidi" w:hAnsiTheme="majorBidi" w:cstheme="majorBidi"/>
        </w:rPr>
        <w:t>es outils de l</w:t>
      </w:r>
      <w:r w:rsidRPr="00D57F4F">
        <w:rPr>
          <w:rFonts w:asciiTheme="majorBidi" w:hAnsiTheme="majorBidi" w:cstheme="majorBidi"/>
        </w:rPr>
        <w:t xml:space="preserve">a veille technologique </w:t>
      </w:r>
    </w:p>
    <w:p w:rsidR="00A522A6" w:rsidRPr="00D57F4F" w:rsidRDefault="00D57F4F" w:rsidP="00D57F4F">
      <w:pPr>
        <w:pStyle w:val="Paragraphedeliste"/>
        <w:numPr>
          <w:ilvl w:val="0"/>
          <w:numId w:val="5"/>
        </w:numPr>
        <w:spacing w:before="240" w:line="360" w:lineRule="auto"/>
        <w:jc w:val="both"/>
        <w:rPr>
          <w:rFonts w:asciiTheme="majorBidi" w:hAnsiTheme="majorBidi" w:cstheme="majorBidi"/>
        </w:rPr>
      </w:pPr>
      <w:r w:rsidRPr="00D57F4F">
        <w:rPr>
          <w:rFonts w:asciiTheme="majorBidi" w:hAnsiTheme="majorBidi" w:cstheme="majorBidi"/>
        </w:rPr>
        <w:t xml:space="preserve">Etudes de cas, Cartographie des brevets d’invention dans le secteur pharmaceutique </w:t>
      </w:r>
    </w:p>
    <w:p w:rsidR="00D57F4F" w:rsidRPr="00D57F4F" w:rsidRDefault="00D57F4F" w:rsidP="00D57F4F">
      <w:pPr>
        <w:pStyle w:val="Paragraphedeliste"/>
        <w:numPr>
          <w:ilvl w:val="0"/>
          <w:numId w:val="5"/>
        </w:numPr>
        <w:spacing w:before="240" w:line="360" w:lineRule="auto"/>
        <w:jc w:val="both"/>
        <w:rPr>
          <w:rFonts w:asciiTheme="majorBidi" w:hAnsiTheme="majorBidi" w:cstheme="majorBidi"/>
        </w:rPr>
      </w:pPr>
      <w:r w:rsidRPr="00D57F4F">
        <w:rPr>
          <w:rFonts w:asciiTheme="majorBidi" w:hAnsiTheme="majorBidi" w:cstheme="majorBidi"/>
        </w:rPr>
        <w:t>Veille et intelligence Economique</w:t>
      </w:r>
    </w:p>
    <w:p w:rsidR="00D57F4F" w:rsidRPr="00D57F4F" w:rsidRDefault="00D57F4F" w:rsidP="00D57F4F">
      <w:pPr>
        <w:pStyle w:val="Paragraphedeliste"/>
        <w:numPr>
          <w:ilvl w:val="0"/>
          <w:numId w:val="5"/>
        </w:numPr>
        <w:spacing w:before="240" w:line="360" w:lineRule="auto"/>
        <w:jc w:val="both"/>
        <w:rPr>
          <w:rFonts w:asciiTheme="majorBidi" w:hAnsiTheme="majorBidi" w:cstheme="majorBidi"/>
        </w:rPr>
      </w:pPr>
      <w:r w:rsidRPr="00D57F4F">
        <w:rPr>
          <w:rFonts w:asciiTheme="majorBidi" w:hAnsiTheme="majorBidi" w:cstheme="majorBidi"/>
        </w:rPr>
        <w:t>Etude de l’évolution du programme de la conférence « Systèmes d’information et intelligence économique » depuis 2008</w:t>
      </w:r>
    </w:p>
    <w:p w:rsidR="00D57F4F" w:rsidRPr="00D57F4F" w:rsidRDefault="00D57F4F" w:rsidP="00D57F4F">
      <w:pPr>
        <w:pStyle w:val="Paragraphedeliste"/>
        <w:numPr>
          <w:ilvl w:val="0"/>
          <w:numId w:val="5"/>
        </w:numPr>
        <w:spacing w:before="240" w:line="360" w:lineRule="auto"/>
        <w:jc w:val="both"/>
        <w:rPr>
          <w:rFonts w:asciiTheme="majorBidi" w:hAnsiTheme="majorBidi" w:cstheme="majorBidi"/>
        </w:rPr>
      </w:pPr>
      <w:r w:rsidRPr="00D57F4F">
        <w:rPr>
          <w:rFonts w:asciiTheme="majorBidi" w:hAnsiTheme="majorBidi" w:cstheme="majorBidi"/>
        </w:rPr>
        <w:t xml:space="preserve">Veille et </w:t>
      </w:r>
      <w:r w:rsidRPr="00D57F4F">
        <w:rPr>
          <w:rFonts w:asciiTheme="majorBidi" w:hAnsiTheme="majorBidi" w:cstheme="majorBidi"/>
          <w:lang w:val="en-US"/>
        </w:rPr>
        <w:t>Knowledge</w:t>
      </w:r>
      <w:r w:rsidRPr="00D57F4F">
        <w:rPr>
          <w:rFonts w:asciiTheme="majorBidi" w:hAnsiTheme="majorBidi" w:cstheme="majorBidi"/>
        </w:rPr>
        <w:t xml:space="preserve"> management</w:t>
      </w: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Default="00D57F4F" w:rsidP="00D57F4F">
      <w:pPr>
        <w:jc w:val="center"/>
        <w:rPr>
          <w:rFonts w:eastAsia="Rockwell"/>
          <w:b/>
          <w:bCs/>
          <w:color w:val="0000FF"/>
          <w:sz w:val="32"/>
          <w:szCs w:val="32"/>
          <w:lang w:bidi="ar-SA"/>
        </w:rPr>
      </w:pPr>
    </w:p>
    <w:p w:rsidR="00D57F4F" w:rsidRPr="00D8761D" w:rsidRDefault="00D57F4F" w:rsidP="00D57F4F">
      <w:pPr>
        <w:jc w:val="center"/>
        <w:rPr>
          <w:rFonts w:eastAsia="Rockwell"/>
          <w:b/>
          <w:bCs/>
          <w:color w:val="0000FF"/>
          <w:sz w:val="32"/>
          <w:szCs w:val="32"/>
          <w:lang w:bidi="ar-SA"/>
        </w:rPr>
      </w:pPr>
      <w:r>
        <w:rPr>
          <w:rFonts w:eastAsia="Rockwell"/>
          <w:b/>
          <w:bCs/>
          <w:color w:val="0000FF"/>
          <w:sz w:val="32"/>
          <w:szCs w:val="32"/>
          <w:lang w:bidi="ar-SA"/>
        </w:rPr>
        <w:lastRenderedPageBreak/>
        <w:t>ECUE n° 2 : E</w:t>
      </w:r>
      <w:r w:rsidRPr="00D8761D">
        <w:rPr>
          <w:rFonts w:eastAsia="Rockwell"/>
          <w:b/>
          <w:bCs/>
          <w:color w:val="0000FF"/>
          <w:sz w:val="32"/>
          <w:szCs w:val="32"/>
          <w:lang w:bidi="ar-SA"/>
        </w:rPr>
        <w:t xml:space="preserve">conomie </w:t>
      </w:r>
      <w:r>
        <w:rPr>
          <w:rFonts w:eastAsia="Rockwell"/>
          <w:b/>
          <w:bCs/>
          <w:color w:val="0000FF"/>
          <w:sz w:val="32"/>
          <w:szCs w:val="32"/>
          <w:lang w:bidi="ar-SA"/>
        </w:rPr>
        <w:t>de l’information</w:t>
      </w:r>
    </w:p>
    <w:p w:rsidR="00D57F4F" w:rsidRDefault="00D57F4F" w:rsidP="00D57F4F">
      <w:pPr>
        <w:autoSpaceDE w:val="0"/>
        <w:autoSpaceDN w:val="0"/>
        <w:adjustRightInd w:val="0"/>
        <w:jc w:val="center"/>
        <w:rPr>
          <w:rFonts w:eastAsia="Rockwell"/>
          <w:b/>
          <w:bCs/>
          <w:color w:val="0000FF"/>
          <w:sz w:val="32"/>
          <w:szCs w:val="32"/>
          <w:lang w:bidi="ar-SA"/>
        </w:rPr>
      </w:pPr>
    </w:p>
    <w:p w:rsidR="00D57F4F" w:rsidRDefault="00D57F4F" w:rsidP="00D57F4F">
      <w:pPr>
        <w:autoSpaceDE w:val="0"/>
        <w:autoSpaceDN w:val="0"/>
        <w:adjustRightInd w:val="0"/>
        <w:jc w:val="center"/>
        <w:rPr>
          <w:rFonts w:eastAsia="Rockwell"/>
          <w:color w:val="000000"/>
          <w:sz w:val="20"/>
          <w:szCs w:val="20"/>
          <w:lang w:bidi="ar-SA"/>
        </w:rPr>
      </w:pPr>
      <w:r>
        <w:rPr>
          <w:rFonts w:eastAsia="Rockwell"/>
          <w:b/>
          <w:bCs/>
          <w:color w:val="0000FF"/>
          <w:sz w:val="32"/>
          <w:szCs w:val="32"/>
          <w:lang w:bidi="ar-SA"/>
        </w:rPr>
        <w:t>Code UE23</w:t>
      </w:r>
    </w:p>
    <w:p w:rsidR="00D57F4F" w:rsidRPr="00A651FE" w:rsidRDefault="00D57F4F" w:rsidP="00D57F4F">
      <w:pPr>
        <w:jc w:val="both"/>
        <w:rPr>
          <w:rFonts w:asciiTheme="majorBidi" w:hAnsiTheme="majorBidi" w:cstheme="majorBidi"/>
          <w:b/>
          <w:bCs/>
        </w:rPr>
      </w:pPr>
      <w:r w:rsidRPr="00A651FE">
        <w:rPr>
          <w:rFonts w:asciiTheme="majorBidi" w:hAnsiTheme="majorBidi" w:cstheme="majorBidi"/>
          <w:b/>
          <w:bCs/>
        </w:rPr>
        <w:t>Objectif</w:t>
      </w:r>
    </w:p>
    <w:p w:rsidR="00D57F4F" w:rsidRPr="00A651FE" w:rsidRDefault="00D57F4F" w:rsidP="00D57F4F">
      <w:pPr>
        <w:jc w:val="both"/>
        <w:rPr>
          <w:rStyle w:val="apple-converted-space"/>
          <w:rFonts w:asciiTheme="majorBidi" w:hAnsiTheme="majorBidi" w:cstheme="majorBidi"/>
          <w:color w:val="000000"/>
          <w:shd w:val="clear" w:color="auto" w:fill="FFFFFF"/>
        </w:rPr>
      </w:pPr>
      <w:r w:rsidRPr="00A651FE">
        <w:rPr>
          <w:rFonts w:asciiTheme="majorBidi" w:hAnsiTheme="majorBidi" w:cstheme="majorBidi"/>
          <w:color w:val="000000"/>
          <w:shd w:val="clear" w:color="auto" w:fill="FFFFFF"/>
        </w:rPr>
        <w:t>L'objectif du cours est de transmettre aux étudiants les outils théoriques et pratiques qui leur permettront d'analyser les comportements des consommateurs et des entreprises qui évoluent sur ces marchés, d'en distinguer clairement les enjeux et les implications pour les stratégies d'entreprise et les interventions des agences responsables de la réglementation.</w:t>
      </w:r>
      <w:r w:rsidRPr="00A651FE">
        <w:rPr>
          <w:rStyle w:val="apple-converted-space"/>
          <w:rFonts w:asciiTheme="majorBidi" w:hAnsiTheme="majorBidi" w:cstheme="majorBidi"/>
          <w:color w:val="000000"/>
          <w:shd w:val="clear" w:color="auto" w:fill="FFFFFF"/>
        </w:rPr>
        <w:t> </w:t>
      </w:r>
    </w:p>
    <w:p w:rsidR="00D57F4F" w:rsidRPr="00A651FE" w:rsidRDefault="00D57F4F" w:rsidP="00D57F4F">
      <w:pPr>
        <w:jc w:val="both"/>
        <w:rPr>
          <w:rStyle w:val="apple-converted-space"/>
          <w:rFonts w:asciiTheme="majorBidi" w:hAnsiTheme="majorBidi" w:cstheme="majorBidi"/>
          <w:color w:val="000000"/>
          <w:shd w:val="clear" w:color="auto" w:fill="FFFFFF"/>
        </w:rPr>
      </w:pPr>
    </w:p>
    <w:p w:rsidR="00D57F4F" w:rsidRPr="00A651FE" w:rsidRDefault="00D57F4F" w:rsidP="00D57F4F">
      <w:pPr>
        <w:jc w:val="both"/>
        <w:rPr>
          <w:rStyle w:val="apple-converted-space"/>
          <w:rFonts w:asciiTheme="majorBidi" w:hAnsiTheme="majorBidi" w:cstheme="majorBidi"/>
          <w:b/>
          <w:bCs/>
          <w:color w:val="000000"/>
          <w:shd w:val="clear" w:color="auto" w:fill="FFFFFF"/>
        </w:rPr>
      </w:pPr>
      <w:r w:rsidRPr="00A651FE">
        <w:rPr>
          <w:rStyle w:val="apple-converted-space"/>
          <w:rFonts w:asciiTheme="majorBidi" w:hAnsiTheme="majorBidi" w:cstheme="majorBidi"/>
          <w:b/>
          <w:bCs/>
          <w:color w:val="000000"/>
          <w:shd w:val="clear" w:color="auto" w:fill="FFFFFF"/>
        </w:rPr>
        <w:t>Plan</w:t>
      </w:r>
    </w:p>
    <w:p w:rsidR="00D57F4F" w:rsidRPr="00A651FE" w:rsidRDefault="00D57F4F" w:rsidP="00D57F4F">
      <w:pPr>
        <w:jc w:val="both"/>
        <w:rPr>
          <w:rFonts w:asciiTheme="majorBidi" w:hAnsiTheme="majorBidi" w:cstheme="majorBidi"/>
        </w:rPr>
      </w:pPr>
      <w:r w:rsidRPr="00A651FE">
        <w:rPr>
          <w:rFonts w:asciiTheme="majorBidi" w:hAnsiTheme="majorBidi" w:cstheme="majorBidi"/>
        </w:rPr>
        <w:t xml:space="preserve">Chapitre 1 : Jeux simultanés à information complète, théorie </w:t>
      </w:r>
    </w:p>
    <w:p w:rsidR="00D57F4F" w:rsidRPr="00A651FE" w:rsidRDefault="00D57F4F" w:rsidP="00D57F4F">
      <w:pPr>
        <w:jc w:val="both"/>
        <w:rPr>
          <w:rFonts w:asciiTheme="majorBidi" w:hAnsiTheme="majorBidi" w:cstheme="majorBidi"/>
        </w:rPr>
      </w:pPr>
      <w:r w:rsidRPr="00A651FE">
        <w:rPr>
          <w:rFonts w:asciiTheme="majorBidi" w:hAnsiTheme="majorBidi" w:cstheme="majorBidi"/>
        </w:rPr>
        <w:t xml:space="preserve">Chapitre 2 : Jeux simultanés à information complète, applications </w:t>
      </w:r>
    </w:p>
    <w:p w:rsidR="00D57F4F" w:rsidRPr="00A651FE" w:rsidRDefault="00D57F4F" w:rsidP="00D57F4F">
      <w:pPr>
        <w:jc w:val="both"/>
        <w:rPr>
          <w:rFonts w:asciiTheme="majorBidi" w:hAnsiTheme="majorBidi" w:cstheme="majorBidi"/>
        </w:rPr>
      </w:pPr>
      <w:r w:rsidRPr="00A651FE">
        <w:rPr>
          <w:rFonts w:asciiTheme="majorBidi" w:hAnsiTheme="majorBidi" w:cstheme="majorBidi"/>
        </w:rPr>
        <w:t xml:space="preserve">Chapitre 3 : Jeux dynamiques à information complète </w:t>
      </w:r>
    </w:p>
    <w:p w:rsidR="00D57F4F" w:rsidRPr="00A651FE" w:rsidRDefault="00D57F4F" w:rsidP="00D57F4F">
      <w:pPr>
        <w:jc w:val="both"/>
        <w:rPr>
          <w:rFonts w:asciiTheme="majorBidi" w:hAnsiTheme="majorBidi" w:cstheme="majorBidi"/>
        </w:rPr>
      </w:pPr>
      <w:r w:rsidRPr="00A651FE">
        <w:rPr>
          <w:rFonts w:asciiTheme="majorBidi" w:hAnsiTheme="majorBidi" w:cstheme="majorBidi"/>
        </w:rPr>
        <w:t xml:space="preserve">Chapitre 4 : Jeux simultanés à information incomplète </w:t>
      </w:r>
    </w:p>
    <w:p w:rsidR="00D57F4F" w:rsidRPr="00A651FE" w:rsidRDefault="00D57F4F" w:rsidP="00D57F4F">
      <w:pPr>
        <w:jc w:val="both"/>
        <w:rPr>
          <w:rFonts w:asciiTheme="majorBidi" w:hAnsiTheme="majorBidi" w:cstheme="majorBidi"/>
        </w:rPr>
      </w:pPr>
      <w:r w:rsidRPr="00A651FE">
        <w:rPr>
          <w:rFonts w:asciiTheme="majorBidi" w:hAnsiTheme="majorBidi" w:cstheme="majorBidi"/>
        </w:rPr>
        <w:t xml:space="preserve">Deuxième Partie : Modèles de l’économie de l’information </w:t>
      </w:r>
    </w:p>
    <w:p w:rsidR="00D57F4F" w:rsidRPr="00A651FE" w:rsidRDefault="00D57F4F" w:rsidP="00D57F4F">
      <w:pPr>
        <w:jc w:val="both"/>
        <w:rPr>
          <w:rFonts w:asciiTheme="majorBidi" w:hAnsiTheme="majorBidi" w:cstheme="majorBidi"/>
        </w:rPr>
      </w:pPr>
      <w:r w:rsidRPr="00A651FE">
        <w:rPr>
          <w:rFonts w:asciiTheme="majorBidi" w:hAnsiTheme="majorBidi" w:cstheme="majorBidi"/>
        </w:rPr>
        <w:t xml:space="preserve">Chapitre 6 : Le phénomène de sélection adverse </w:t>
      </w:r>
    </w:p>
    <w:p w:rsidR="00D57F4F" w:rsidRPr="00A651FE" w:rsidRDefault="00D57F4F" w:rsidP="00D57F4F">
      <w:pPr>
        <w:jc w:val="both"/>
        <w:rPr>
          <w:rFonts w:asciiTheme="majorBidi" w:hAnsiTheme="majorBidi" w:cstheme="majorBidi"/>
        </w:rPr>
      </w:pPr>
      <w:r w:rsidRPr="00A651FE">
        <w:rPr>
          <w:rFonts w:asciiTheme="majorBidi" w:hAnsiTheme="majorBidi" w:cstheme="majorBidi"/>
        </w:rPr>
        <w:t xml:space="preserve">Chapitre 7 : Asymétrie de l'information et équilibre du marché des assurances </w:t>
      </w:r>
    </w:p>
    <w:p w:rsidR="00D57F4F" w:rsidRPr="00A651FE" w:rsidRDefault="00D57F4F" w:rsidP="00D57F4F">
      <w:pPr>
        <w:jc w:val="both"/>
        <w:rPr>
          <w:rFonts w:asciiTheme="majorBidi" w:hAnsiTheme="majorBidi" w:cstheme="majorBidi"/>
        </w:rPr>
      </w:pPr>
      <w:r w:rsidRPr="00A651FE">
        <w:rPr>
          <w:rFonts w:asciiTheme="majorBidi" w:hAnsiTheme="majorBidi" w:cstheme="majorBidi"/>
        </w:rPr>
        <w:t xml:space="preserve">Chapitre 8 : Le modèle de signal de </w:t>
      </w:r>
      <w:proofErr w:type="spellStart"/>
      <w:r w:rsidRPr="00A651FE">
        <w:rPr>
          <w:rFonts w:asciiTheme="majorBidi" w:hAnsiTheme="majorBidi" w:cstheme="majorBidi"/>
        </w:rPr>
        <w:t>Spence</w:t>
      </w:r>
      <w:proofErr w:type="spellEnd"/>
      <w:r w:rsidRPr="00A651FE">
        <w:rPr>
          <w:rFonts w:asciiTheme="majorBidi" w:hAnsiTheme="majorBidi" w:cstheme="majorBidi"/>
        </w:rPr>
        <w:t xml:space="preserve"> </w:t>
      </w:r>
    </w:p>
    <w:p w:rsidR="00D57F4F" w:rsidRDefault="00D57F4F" w:rsidP="00D57F4F">
      <w:pPr>
        <w:jc w:val="both"/>
        <w:rPr>
          <w:rFonts w:asciiTheme="majorBidi" w:hAnsiTheme="majorBidi" w:cstheme="majorBidi"/>
        </w:rPr>
      </w:pPr>
      <w:r w:rsidRPr="00A651FE">
        <w:rPr>
          <w:rFonts w:asciiTheme="majorBidi" w:hAnsiTheme="majorBidi" w:cstheme="majorBidi"/>
        </w:rPr>
        <w:t xml:space="preserve">Chapitre 9 : La théorie de l'agence </w:t>
      </w:r>
    </w:p>
    <w:p w:rsidR="00D57F4F" w:rsidRDefault="00D57F4F" w:rsidP="00D57F4F">
      <w:pPr>
        <w:jc w:val="both"/>
        <w:rPr>
          <w:rFonts w:asciiTheme="majorBidi" w:hAnsiTheme="majorBidi" w:cstheme="majorBidi"/>
        </w:rPr>
      </w:pPr>
    </w:p>
    <w:p w:rsidR="00D57F4F" w:rsidRDefault="00D57F4F" w:rsidP="00D57F4F">
      <w:pPr>
        <w:jc w:val="center"/>
        <w:rPr>
          <w:rFonts w:eastAsia="Rockwell"/>
          <w:b/>
          <w:bCs/>
          <w:color w:val="0000FF"/>
          <w:sz w:val="32"/>
          <w:szCs w:val="32"/>
          <w:lang w:bidi="ar-SA"/>
        </w:rPr>
      </w:pPr>
    </w:p>
    <w:p w:rsidR="00D57F4F" w:rsidRPr="00A651FE" w:rsidRDefault="00D57F4F" w:rsidP="00D57F4F">
      <w:pPr>
        <w:spacing w:before="240"/>
        <w:jc w:val="both"/>
        <w:rPr>
          <w:rFonts w:asciiTheme="majorBidi" w:hAnsiTheme="majorBidi" w:cstheme="majorBidi"/>
        </w:rPr>
      </w:pPr>
    </w:p>
    <w:sectPr w:rsidR="00D57F4F" w:rsidRPr="00A651FE" w:rsidSect="007C5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5508"/>
    <w:multiLevelType w:val="multilevel"/>
    <w:tmpl w:val="D270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D437A"/>
    <w:multiLevelType w:val="hybridMultilevel"/>
    <w:tmpl w:val="0F848E68"/>
    <w:lvl w:ilvl="0" w:tplc="E49833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0551C2E"/>
    <w:multiLevelType w:val="hybridMultilevel"/>
    <w:tmpl w:val="89D41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0AD529F"/>
    <w:multiLevelType w:val="hybridMultilevel"/>
    <w:tmpl w:val="D97AD300"/>
    <w:lvl w:ilvl="0" w:tplc="70468F24">
      <w:start w:val="3"/>
      <w:numFmt w:val="decimal"/>
      <w:lvlText w:val="%1-"/>
      <w:lvlJc w:val="left"/>
      <w:pPr>
        <w:ind w:left="720" w:hanging="360"/>
      </w:pPr>
      <w:rPr>
        <w:rFonts w:hint="default"/>
        <w:b/>
        <w:color w:val="0000FF"/>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866EB9"/>
    <w:multiLevelType w:val="hybridMultilevel"/>
    <w:tmpl w:val="868E94DE"/>
    <w:lvl w:ilvl="0" w:tplc="5BB0E9F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26E37"/>
    <w:rsid w:val="000120B4"/>
    <w:rsid w:val="000452A2"/>
    <w:rsid w:val="00176649"/>
    <w:rsid w:val="001830CA"/>
    <w:rsid w:val="001A61E6"/>
    <w:rsid w:val="00210350"/>
    <w:rsid w:val="00221D22"/>
    <w:rsid w:val="002E1569"/>
    <w:rsid w:val="002F1217"/>
    <w:rsid w:val="003361D7"/>
    <w:rsid w:val="00340E6F"/>
    <w:rsid w:val="003A7745"/>
    <w:rsid w:val="004403AB"/>
    <w:rsid w:val="004C3B4A"/>
    <w:rsid w:val="004E6074"/>
    <w:rsid w:val="005B7236"/>
    <w:rsid w:val="0064107D"/>
    <w:rsid w:val="00661BA9"/>
    <w:rsid w:val="0076444E"/>
    <w:rsid w:val="007C5D5D"/>
    <w:rsid w:val="008532FC"/>
    <w:rsid w:val="008D184C"/>
    <w:rsid w:val="00974EB2"/>
    <w:rsid w:val="00A522A6"/>
    <w:rsid w:val="00A651FE"/>
    <w:rsid w:val="00BA27C2"/>
    <w:rsid w:val="00C31BC8"/>
    <w:rsid w:val="00C459E9"/>
    <w:rsid w:val="00CB675A"/>
    <w:rsid w:val="00D57F4F"/>
    <w:rsid w:val="00D8761D"/>
    <w:rsid w:val="00DF09D7"/>
    <w:rsid w:val="00E26E37"/>
    <w:rsid w:val="00E379B4"/>
    <w:rsid w:val="00E5661B"/>
    <w:rsid w:val="00E62E8E"/>
    <w:rsid w:val="00F531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37"/>
    <w:pPr>
      <w:spacing w:after="0" w:line="240" w:lineRule="auto"/>
    </w:pPr>
    <w:rPr>
      <w:rFonts w:ascii="Times New Roman" w:eastAsia="Times New Roman" w:hAnsi="Times New Roman" w:cs="Times New Roman"/>
      <w:sz w:val="24"/>
      <w:szCs w:val="24"/>
      <w:lang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E37"/>
    <w:pPr>
      <w:spacing w:after="200" w:line="276" w:lineRule="auto"/>
      <w:ind w:left="720"/>
      <w:contextualSpacing/>
    </w:pPr>
    <w:rPr>
      <w:rFonts w:ascii="Rockwell" w:hAnsi="Rockwell"/>
      <w:sz w:val="22"/>
      <w:szCs w:val="22"/>
      <w:lang w:eastAsia="en-US" w:bidi="en-US"/>
    </w:rPr>
  </w:style>
  <w:style w:type="character" w:styleId="lev">
    <w:name w:val="Strong"/>
    <w:uiPriority w:val="22"/>
    <w:qFormat/>
    <w:rsid w:val="00E26E37"/>
    <w:rPr>
      <w:b/>
      <w:bCs/>
    </w:rPr>
  </w:style>
  <w:style w:type="paragraph" w:customStyle="1" w:styleId="texteifgp2">
    <w:name w:val="texteifgp2"/>
    <w:basedOn w:val="Normal"/>
    <w:rsid w:val="00E26E37"/>
    <w:pPr>
      <w:spacing w:before="100" w:beforeAutospacing="1" w:after="100" w:afterAutospacing="1"/>
    </w:pPr>
    <w:rPr>
      <w:lang w:bidi="ar-SA"/>
    </w:rPr>
  </w:style>
  <w:style w:type="paragraph" w:customStyle="1" w:styleId="Default">
    <w:name w:val="Default"/>
    <w:rsid w:val="00E26E3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souligner1">
    <w:name w:val="souligner1"/>
    <w:basedOn w:val="Policepardfaut"/>
    <w:rsid w:val="00E26E37"/>
    <w:rPr>
      <w:u w:val="single"/>
    </w:rPr>
  </w:style>
  <w:style w:type="paragraph" w:customStyle="1" w:styleId="Contenudetableau">
    <w:name w:val="Contenu de tableau"/>
    <w:basedOn w:val="Normal"/>
    <w:rsid w:val="004403AB"/>
    <w:pPr>
      <w:widowControl w:val="0"/>
      <w:suppressLineNumbers/>
      <w:suppressAutoHyphens/>
    </w:pPr>
    <w:rPr>
      <w:rFonts w:eastAsia="SimSun" w:cs="Mangal"/>
      <w:kern w:val="1"/>
      <w:lang w:eastAsia="hi-IN" w:bidi="hi-IN"/>
    </w:rPr>
  </w:style>
  <w:style w:type="paragraph" w:styleId="NormalWeb">
    <w:name w:val="Normal (Web)"/>
    <w:basedOn w:val="Normal"/>
    <w:uiPriority w:val="99"/>
    <w:semiHidden/>
    <w:unhideWhenUsed/>
    <w:rsid w:val="00D8761D"/>
    <w:pPr>
      <w:spacing w:before="100" w:beforeAutospacing="1" w:after="100" w:afterAutospacing="1"/>
    </w:pPr>
    <w:rPr>
      <w:lang w:bidi="ar-SA"/>
    </w:rPr>
  </w:style>
  <w:style w:type="paragraph" w:customStyle="1" w:styleId="optxtp">
    <w:name w:val="op_txt_p"/>
    <w:basedOn w:val="Normal"/>
    <w:rsid w:val="00D8761D"/>
    <w:pPr>
      <w:spacing w:before="100" w:beforeAutospacing="1" w:after="100" w:afterAutospacing="1"/>
    </w:pPr>
    <w:rPr>
      <w:lang w:bidi="ar-SA"/>
    </w:rPr>
  </w:style>
  <w:style w:type="character" w:customStyle="1" w:styleId="apple-converted-space">
    <w:name w:val="apple-converted-space"/>
    <w:basedOn w:val="Policepardfaut"/>
    <w:rsid w:val="00E62E8E"/>
  </w:style>
  <w:style w:type="paragraph" w:styleId="Textedebulles">
    <w:name w:val="Balloon Text"/>
    <w:basedOn w:val="Normal"/>
    <w:link w:val="TextedebullesCar"/>
    <w:uiPriority w:val="99"/>
    <w:semiHidden/>
    <w:unhideWhenUsed/>
    <w:rsid w:val="008D184C"/>
    <w:rPr>
      <w:rFonts w:ascii="Tahoma" w:hAnsi="Tahoma" w:cs="Tahoma"/>
      <w:sz w:val="16"/>
      <w:szCs w:val="16"/>
    </w:rPr>
  </w:style>
  <w:style w:type="character" w:customStyle="1" w:styleId="TextedebullesCar">
    <w:name w:val="Texte de bulles Car"/>
    <w:basedOn w:val="Policepardfaut"/>
    <w:link w:val="Textedebulles"/>
    <w:uiPriority w:val="99"/>
    <w:semiHidden/>
    <w:rsid w:val="008D184C"/>
    <w:rPr>
      <w:rFonts w:ascii="Tahoma" w:eastAsia="Times New Roman" w:hAnsi="Tahoma" w:cs="Tahoma"/>
      <w:sz w:val="16"/>
      <w:szCs w:val="16"/>
      <w:lang w:eastAsia="fr-FR" w:bidi="ar-TN"/>
    </w:rPr>
  </w:style>
</w:styles>
</file>

<file path=word/webSettings.xml><?xml version="1.0" encoding="utf-8"?>
<w:webSettings xmlns:r="http://schemas.openxmlformats.org/officeDocument/2006/relationships" xmlns:w="http://schemas.openxmlformats.org/wordprocessingml/2006/main">
  <w:divs>
    <w:div w:id="1264806409">
      <w:bodyDiv w:val="1"/>
      <w:marLeft w:val="0"/>
      <w:marRight w:val="0"/>
      <w:marTop w:val="0"/>
      <w:marBottom w:val="0"/>
      <w:divBdr>
        <w:top w:val="none" w:sz="0" w:space="0" w:color="auto"/>
        <w:left w:val="none" w:sz="0" w:space="0" w:color="auto"/>
        <w:bottom w:val="none" w:sz="0" w:space="0" w:color="auto"/>
        <w:right w:val="none" w:sz="0" w:space="0" w:color="auto"/>
      </w:divBdr>
    </w:div>
    <w:div w:id="14887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3635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benammar</dc:creator>
  <cp:lastModifiedBy>esce</cp:lastModifiedBy>
  <cp:revision>2</cp:revision>
  <cp:lastPrinted>2014-03-14T13:25:00Z</cp:lastPrinted>
  <dcterms:created xsi:type="dcterms:W3CDTF">2014-04-14T13:27:00Z</dcterms:created>
  <dcterms:modified xsi:type="dcterms:W3CDTF">2014-04-14T13:27:00Z</dcterms:modified>
</cp:coreProperties>
</file>