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37" w:rsidRDefault="00E26E37" w:rsidP="00E26E37">
      <w:pPr>
        <w:autoSpaceDE w:val="0"/>
        <w:autoSpaceDN w:val="0"/>
        <w:adjustRightInd w:val="0"/>
        <w:jc w:val="center"/>
        <w:rPr>
          <w:b/>
          <w:bCs/>
          <w:color w:val="810000"/>
          <w:sz w:val="32"/>
          <w:szCs w:val="32"/>
          <w:lang w:bidi="ar-SA"/>
        </w:rPr>
      </w:pPr>
      <w:r>
        <w:rPr>
          <w:b/>
          <w:bCs/>
          <w:color w:val="810000"/>
          <w:sz w:val="32"/>
          <w:szCs w:val="32"/>
          <w:lang w:bidi="ar-SA"/>
        </w:rPr>
        <w:t xml:space="preserve">Fiche descriptive d’une unité d’enseignement (UE) </w:t>
      </w:r>
    </w:p>
    <w:p w:rsidR="00E26E37" w:rsidRPr="00CE7B51" w:rsidRDefault="00E26E37" w:rsidP="00E26E37">
      <w:pPr>
        <w:autoSpaceDE w:val="0"/>
        <w:autoSpaceDN w:val="0"/>
        <w:adjustRightInd w:val="0"/>
        <w:jc w:val="center"/>
        <w:rPr>
          <w:b/>
          <w:bCs/>
          <w:color w:val="810000"/>
          <w:sz w:val="32"/>
          <w:szCs w:val="32"/>
          <w:lang w:bidi="ar-SA"/>
        </w:rPr>
      </w:pPr>
      <w:proofErr w:type="gramStart"/>
      <w:r>
        <w:rPr>
          <w:b/>
          <w:bCs/>
          <w:color w:val="810000"/>
          <w:sz w:val="28"/>
          <w:szCs w:val="28"/>
          <w:lang w:bidi="ar-SA"/>
        </w:rPr>
        <w:t>et</w:t>
      </w:r>
      <w:proofErr w:type="gramEnd"/>
      <w:r>
        <w:rPr>
          <w:b/>
          <w:bCs/>
          <w:color w:val="810000"/>
          <w:sz w:val="28"/>
          <w:szCs w:val="28"/>
          <w:lang w:bidi="ar-SA"/>
        </w:rPr>
        <w:t xml:space="preserve"> de ses éléments constitutifs (ECUE)</w:t>
      </w:r>
    </w:p>
    <w:p w:rsidR="00E26E37" w:rsidRDefault="00E26E37" w:rsidP="00E26E37">
      <w:pPr>
        <w:autoSpaceDE w:val="0"/>
        <w:autoSpaceDN w:val="0"/>
        <w:adjustRightInd w:val="0"/>
        <w:jc w:val="center"/>
        <w:rPr>
          <w:b/>
          <w:bCs/>
          <w:color w:val="000000"/>
          <w:sz w:val="28"/>
          <w:szCs w:val="28"/>
          <w:lang w:bidi="ar-SA"/>
        </w:rPr>
      </w:pP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Pr>
          <w:b/>
          <w:bCs/>
          <w:color w:val="0000FF"/>
          <w:sz w:val="28"/>
          <w:szCs w:val="28"/>
          <w:lang w:bidi="ar-SA"/>
        </w:rPr>
        <w:t>Intitulé de l’UE</w:t>
      </w:r>
    </w:p>
    <w:p w:rsidR="002F1217" w:rsidRDefault="002F1217" w:rsidP="00E26E37">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sidRPr="002F1217">
        <w:rPr>
          <w:b/>
          <w:bCs/>
          <w:color w:val="0000FF"/>
          <w:sz w:val="28"/>
          <w:szCs w:val="28"/>
          <w:lang w:bidi="ar-SA"/>
        </w:rPr>
        <w:t>SGBD (Système de gestion de base de données)</w:t>
      </w:r>
    </w:p>
    <w:p w:rsidR="00E26E37" w:rsidRDefault="00E26E37" w:rsidP="00E26E37">
      <w:pPr>
        <w:autoSpaceDE w:val="0"/>
        <w:autoSpaceDN w:val="0"/>
        <w:adjustRightInd w:val="0"/>
        <w:jc w:val="center"/>
        <w:rPr>
          <w:b/>
          <w:bCs/>
          <w:color w:val="000000"/>
          <w:sz w:val="28"/>
          <w:szCs w:val="28"/>
          <w:bdr w:val="single" w:sz="4" w:space="0" w:color="auto"/>
          <w:lang w:bidi="ar-SA"/>
        </w:rPr>
      </w:pPr>
    </w:p>
    <w:p w:rsidR="00E26E37" w:rsidRPr="00CE7B51" w:rsidRDefault="00E26E37" w:rsidP="002F1217">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Nombre de crédit</w:t>
      </w:r>
      <w:r>
        <w:rPr>
          <w:b/>
          <w:bCs/>
          <w:color w:val="000000"/>
          <w:sz w:val="28"/>
          <w:szCs w:val="28"/>
          <w:bdr w:val="single" w:sz="4" w:space="0" w:color="auto"/>
          <w:lang w:bidi="ar-SA"/>
        </w:rPr>
        <w:t>s…0</w:t>
      </w:r>
      <w:r w:rsidR="00B96D45">
        <w:rPr>
          <w:b/>
          <w:bCs/>
          <w:color w:val="000000"/>
          <w:sz w:val="28"/>
          <w:szCs w:val="28"/>
          <w:bdr w:val="single" w:sz="4" w:space="0" w:color="auto"/>
          <w:lang w:bidi="ar-SA"/>
        </w:rPr>
        <w:t>7</w:t>
      </w:r>
      <w:r>
        <w:rPr>
          <w:b/>
          <w:bCs/>
          <w:color w:val="000000"/>
          <w:sz w:val="28"/>
          <w:szCs w:val="28"/>
          <w:bdr w:val="single" w:sz="4" w:space="0" w:color="auto"/>
          <w:lang w:bidi="ar-SA"/>
        </w:rPr>
        <w:t>…</w:t>
      </w:r>
    </w:p>
    <w:p w:rsidR="00E26E37" w:rsidRDefault="00E26E37" w:rsidP="00CB675A">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Code UE</w:t>
      </w:r>
      <w:r>
        <w:rPr>
          <w:b/>
          <w:bCs/>
          <w:color w:val="000000"/>
          <w:sz w:val="28"/>
          <w:szCs w:val="28"/>
          <w:bdr w:val="single" w:sz="4" w:space="0" w:color="auto"/>
          <w:lang w:bidi="ar-SA"/>
        </w:rPr>
        <w:t>…….</w:t>
      </w:r>
      <w:proofErr w:type="gramStart"/>
      <w:r w:rsidRPr="004403AB">
        <w:rPr>
          <w:b/>
          <w:bCs/>
          <w:color w:val="FF0000"/>
          <w:sz w:val="28"/>
          <w:szCs w:val="28"/>
          <w:bdr w:val="single" w:sz="4" w:space="0" w:color="auto"/>
          <w:lang w:bidi="ar-SA"/>
        </w:rPr>
        <w:t>UE</w:t>
      </w:r>
      <w:r w:rsidR="00176649">
        <w:rPr>
          <w:b/>
          <w:bCs/>
          <w:color w:val="FF0000"/>
          <w:sz w:val="28"/>
          <w:szCs w:val="28"/>
          <w:bdr w:val="single" w:sz="4" w:space="0" w:color="auto"/>
          <w:lang w:bidi="ar-SA"/>
        </w:rPr>
        <w:t>2</w:t>
      </w:r>
      <w:r w:rsidR="00CB675A">
        <w:rPr>
          <w:b/>
          <w:bCs/>
          <w:color w:val="FF0000"/>
          <w:sz w:val="28"/>
          <w:szCs w:val="28"/>
          <w:bdr w:val="single" w:sz="4" w:space="0" w:color="auto"/>
          <w:lang w:bidi="ar-SA"/>
        </w:rPr>
        <w:t>2</w:t>
      </w:r>
      <w:r>
        <w:rPr>
          <w:b/>
          <w:bCs/>
          <w:color w:val="000000"/>
          <w:sz w:val="28"/>
          <w:szCs w:val="28"/>
          <w:bdr w:val="single" w:sz="4" w:space="0" w:color="auto"/>
          <w:lang w:bidi="ar-SA"/>
        </w:rPr>
        <w:t>.……….</w:t>
      </w:r>
      <w:proofErr w:type="gramEnd"/>
    </w:p>
    <w:p w:rsidR="00E26E37" w:rsidRDefault="00E26E37" w:rsidP="00E26E37">
      <w:pPr>
        <w:pBdr>
          <w:top w:val="single" w:sz="4" w:space="0" w:color="auto"/>
          <w:left w:val="single" w:sz="4" w:space="4" w:color="auto"/>
          <w:bottom w:val="single" w:sz="4" w:space="1" w:color="auto"/>
          <w:right w:val="single" w:sz="4" w:space="4" w:color="auto"/>
        </w:pBdr>
        <w:autoSpaceDE w:val="0"/>
        <w:autoSpaceDN w:val="0"/>
        <w:adjustRightInd w:val="0"/>
        <w:jc w:val="both"/>
        <w:rPr>
          <w:sz w:val="20"/>
          <w:szCs w:val="20"/>
          <w:lang w:bidi="ar-SA"/>
        </w:rPr>
      </w:pPr>
      <w:r>
        <w:rPr>
          <w:b/>
          <w:bCs/>
          <w:lang w:bidi="ar-SA"/>
        </w:rPr>
        <w:t xml:space="preserve">Université : </w:t>
      </w:r>
      <w:r w:rsidRPr="00BF429F">
        <w:rPr>
          <w:b/>
          <w:bCs/>
          <w:color w:val="0000FF"/>
          <w:lang w:bidi="ar-SA"/>
        </w:rPr>
        <w:t xml:space="preserve">Université de </w:t>
      </w:r>
      <w:proofErr w:type="spellStart"/>
      <w:r>
        <w:rPr>
          <w:b/>
          <w:bCs/>
          <w:color w:val="0000FF"/>
          <w:lang w:bidi="ar-SA"/>
        </w:rPr>
        <w:t>Manouba</w:t>
      </w:r>
      <w:proofErr w:type="spellEnd"/>
      <w:r>
        <w:rPr>
          <w:b/>
          <w:bCs/>
          <w:lang w:bidi="ar-SA"/>
        </w:rPr>
        <w:t xml:space="preserve"> ……Etablissement : ESEN </w:t>
      </w:r>
    </w:p>
    <w:p w:rsidR="00E26E37" w:rsidRDefault="00E26E37" w:rsidP="00E26E37">
      <w:pPr>
        <w:autoSpaceDE w:val="0"/>
        <w:autoSpaceDN w:val="0"/>
        <w:adjustRightInd w:val="0"/>
        <w:rPr>
          <w:b/>
          <w:bCs/>
          <w:lang w:bidi="ar-SA"/>
        </w:rPr>
      </w:pPr>
    </w:p>
    <w:tbl>
      <w:tblPr>
        <w:tblW w:w="9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2523"/>
      </w:tblGrid>
      <w:tr w:rsidR="00E26E37" w:rsidRPr="00404595" w:rsidTr="00CD0AE9">
        <w:tc>
          <w:tcPr>
            <w:tcW w:w="7338" w:type="dxa"/>
            <w:tcBorders>
              <w:right w:val="single" w:sz="4" w:space="0" w:color="auto"/>
            </w:tcBorders>
          </w:tcPr>
          <w:p w:rsidR="00E26E37" w:rsidRPr="00404595" w:rsidRDefault="00E26E37" w:rsidP="00E26E37">
            <w:pPr>
              <w:autoSpaceDE w:val="0"/>
              <w:autoSpaceDN w:val="0"/>
              <w:adjustRightInd w:val="0"/>
              <w:rPr>
                <w:b/>
                <w:bCs/>
                <w:lang w:bidi="ar-SA"/>
              </w:rPr>
            </w:pPr>
            <w:r w:rsidRPr="00404595">
              <w:rPr>
                <w:b/>
                <w:bCs/>
                <w:lang w:bidi="ar-SA"/>
              </w:rPr>
              <w:t xml:space="preserve">Domaine de formation : </w:t>
            </w:r>
            <w:r w:rsidR="005A2764">
              <w:rPr>
                <w:b/>
                <w:bCs/>
                <w:color w:val="0000FF"/>
                <w:lang w:bidi="ar-SA"/>
              </w:rPr>
              <w:t>Sciences et technologies</w:t>
            </w:r>
          </w:p>
        </w:tc>
        <w:tc>
          <w:tcPr>
            <w:tcW w:w="2523" w:type="dxa"/>
            <w:tcBorders>
              <w:left w:val="single" w:sz="4" w:space="0" w:color="auto"/>
            </w:tcBorders>
          </w:tcPr>
          <w:p w:rsidR="00E26E37" w:rsidRPr="00404595" w:rsidRDefault="00E26E37" w:rsidP="005A2764">
            <w:pPr>
              <w:autoSpaceDE w:val="0"/>
              <w:autoSpaceDN w:val="0"/>
              <w:adjustRightInd w:val="0"/>
              <w:rPr>
                <w:b/>
                <w:bCs/>
                <w:lang w:bidi="ar-SA"/>
              </w:rPr>
            </w:pPr>
            <w:r w:rsidRPr="00404595">
              <w:rPr>
                <w:b/>
                <w:bCs/>
                <w:lang w:bidi="ar-SA"/>
              </w:rPr>
              <w:t>Mention :</w:t>
            </w:r>
            <w:r>
              <w:rPr>
                <w:b/>
                <w:bCs/>
                <w:lang w:bidi="ar-SA"/>
              </w:rPr>
              <w:t xml:space="preserve"> </w:t>
            </w:r>
            <w:r w:rsidR="005A2764">
              <w:rPr>
                <w:b/>
                <w:bCs/>
                <w:lang w:bidi="ar-SA"/>
              </w:rPr>
              <w:t>IAG</w:t>
            </w:r>
          </w:p>
        </w:tc>
      </w:tr>
      <w:tr w:rsidR="00E26E37" w:rsidRPr="00404595" w:rsidTr="00CD0AE9">
        <w:tc>
          <w:tcPr>
            <w:tcW w:w="7338" w:type="dxa"/>
            <w:tcBorders>
              <w:right w:val="single" w:sz="4" w:space="0" w:color="auto"/>
            </w:tcBorders>
          </w:tcPr>
          <w:p w:rsidR="00E26E37" w:rsidRPr="00404595" w:rsidRDefault="00E26E37" w:rsidP="00CD0AE9">
            <w:pPr>
              <w:autoSpaceDE w:val="0"/>
              <w:autoSpaceDN w:val="0"/>
              <w:adjustRightInd w:val="0"/>
              <w:rPr>
                <w:b/>
                <w:bCs/>
                <w:lang w:bidi="ar-SA"/>
              </w:rPr>
            </w:pPr>
            <w:r w:rsidRPr="00404595">
              <w:rPr>
                <w:b/>
                <w:bCs/>
                <w:lang w:bidi="ar-SA"/>
              </w:rPr>
              <w:t>Diplôme et Parcours</w:t>
            </w:r>
          </w:p>
          <w:p w:rsidR="00E26E37" w:rsidRPr="00404595" w:rsidRDefault="00E26E37" w:rsidP="005A2764">
            <w:pPr>
              <w:autoSpaceDE w:val="0"/>
              <w:autoSpaceDN w:val="0"/>
              <w:adjustRightInd w:val="0"/>
              <w:rPr>
                <w:b/>
                <w:bCs/>
                <w:lang w:bidi="ar-SA"/>
              </w:rPr>
            </w:pPr>
            <w:r>
              <w:rPr>
                <w:b/>
                <w:bCs/>
                <w:color w:val="32519E"/>
                <w:lang w:bidi="ar-SA"/>
              </w:rPr>
              <w:t>Mastère</w:t>
            </w:r>
            <w:r w:rsidRPr="00404595">
              <w:rPr>
                <w:b/>
                <w:bCs/>
                <w:color w:val="32519E"/>
                <w:lang w:bidi="ar-SA"/>
              </w:rPr>
              <w:t xml:space="preserve"> Professionnel</w:t>
            </w:r>
            <w:r w:rsidRPr="00404595">
              <w:rPr>
                <w:b/>
                <w:bCs/>
                <w:lang w:bidi="ar-SA"/>
              </w:rPr>
              <w:t xml:space="preserve"> ……Parcours : </w:t>
            </w:r>
            <w:r w:rsidR="005A2764">
              <w:rPr>
                <w:b/>
                <w:bCs/>
                <w:lang w:bidi="ar-SA"/>
              </w:rPr>
              <w:t>Commerce Electronique</w:t>
            </w:r>
          </w:p>
          <w:p w:rsidR="00E26E37" w:rsidRPr="00404595" w:rsidRDefault="00E26E37" w:rsidP="00CD0AE9">
            <w:pPr>
              <w:autoSpaceDE w:val="0"/>
              <w:autoSpaceDN w:val="0"/>
              <w:adjustRightInd w:val="0"/>
              <w:rPr>
                <w:b/>
                <w:bCs/>
                <w:lang w:bidi="ar-SA"/>
              </w:rPr>
            </w:pPr>
          </w:p>
        </w:tc>
        <w:tc>
          <w:tcPr>
            <w:tcW w:w="2523" w:type="dxa"/>
            <w:tcBorders>
              <w:left w:val="single" w:sz="4" w:space="0" w:color="auto"/>
            </w:tcBorders>
          </w:tcPr>
          <w:p w:rsidR="00E26E37" w:rsidRPr="00404595" w:rsidRDefault="00E26E37" w:rsidP="002F1217">
            <w:pPr>
              <w:autoSpaceDE w:val="0"/>
              <w:autoSpaceDN w:val="0"/>
              <w:adjustRightInd w:val="0"/>
              <w:rPr>
                <w:b/>
                <w:bCs/>
                <w:lang w:bidi="ar-SA"/>
              </w:rPr>
            </w:pPr>
            <w:r w:rsidRPr="00404595">
              <w:rPr>
                <w:b/>
                <w:bCs/>
                <w:lang w:bidi="ar-SA"/>
              </w:rPr>
              <w:t>Semestre…</w:t>
            </w:r>
            <w:r w:rsidRPr="00404595">
              <w:rPr>
                <w:b/>
                <w:bCs/>
                <w:color w:val="32519E"/>
                <w:lang w:bidi="ar-SA"/>
              </w:rPr>
              <w:t>S</w:t>
            </w:r>
            <w:r w:rsidR="002F1217">
              <w:rPr>
                <w:b/>
                <w:bCs/>
                <w:color w:val="32519E"/>
                <w:lang w:bidi="ar-SA"/>
              </w:rPr>
              <w:t>2</w:t>
            </w:r>
          </w:p>
          <w:p w:rsidR="00E26E37" w:rsidRPr="00404595" w:rsidRDefault="00E26E37" w:rsidP="00CD0AE9">
            <w:pPr>
              <w:autoSpaceDE w:val="0"/>
              <w:autoSpaceDN w:val="0"/>
              <w:adjustRightInd w:val="0"/>
              <w:rPr>
                <w:b/>
                <w:bCs/>
                <w:lang w:bidi="ar-SA"/>
              </w:rPr>
            </w:pPr>
          </w:p>
        </w:tc>
      </w:tr>
    </w:tbl>
    <w:p w:rsidR="00E26E37" w:rsidRDefault="00E26E37" w:rsidP="00E26E37">
      <w:pPr>
        <w:autoSpaceDE w:val="0"/>
        <w:autoSpaceDN w:val="0"/>
        <w:adjustRightInd w:val="0"/>
        <w:jc w:val="both"/>
        <w:rPr>
          <w:b/>
          <w:bCs/>
          <w:lang w:bidi="ar-SA"/>
        </w:rPr>
      </w:pPr>
    </w:p>
    <w:p w:rsidR="00E26E37" w:rsidRPr="00BB7367" w:rsidRDefault="00E26E37" w:rsidP="00E26E37">
      <w:pPr>
        <w:pStyle w:val="Paragraphedeliste"/>
        <w:numPr>
          <w:ilvl w:val="0"/>
          <w:numId w:val="1"/>
        </w:numPr>
        <w:autoSpaceDE w:val="0"/>
        <w:autoSpaceDN w:val="0"/>
        <w:adjustRightInd w:val="0"/>
        <w:spacing w:after="0" w:line="240" w:lineRule="auto"/>
        <w:rPr>
          <w:rFonts w:ascii="Times New Roman" w:hAnsi="Times New Roman"/>
          <w:b/>
          <w:bCs/>
          <w:color w:val="0000FF"/>
          <w:sz w:val="24"/>
          <w:szCs w:val="24"/>
          <w:lang w:bidi="ar-SA"/>
        </w:rPr>
      </w:pPr>
      <w:r w:rsidRPr="00BB7367">
        <w:rPr>
          <w:rFonts w:ascii="Times New Roman" w:hAnsi="Times New Roman"/>
          <w:b/>
          <w:bCs/>
          <w:color w:val="0000FF"/>
          <w:sz w:val="24"/>
          <w:szCs w:val="24"/>
          <w:lang w:bidi="ar-SA"/>
        </w:rPr>
        <w:t xml:space="preserve">Objectifs de l’UE </w:t>
      </w:r>
      <w:r w:rsidRPr="00BB7367">
        <w:rPr>
          <w:rFonts w:ascii="Times New Roman" w:hAnsi="Times New Roman"/>
          <w:color w:val="0000FF"/>
          <w:sz w:val="24"/>
          <w:szCs w:val="24"/>
          <w:lang w:bidi="ar-SA"/>
        </w:rPr>
        <w:t>(Savoirs, aptitudes et compétences</w:t>
      </w:r>
      <w:r w:rsidRPr="00BB7367">
        <w:rPr>
          <w:rFonts w:ascii="Times New Roman" w:hAnsi="Times New Roman"/>
          <w:b/>
          <w:bCs/>
          <w:color w:val="0000FF"/>
          <w:sz w:val="24"/>
          <w:szCs w:val="24"/>
          <w:lang w:bidi="ar-SA"/>
        </w:rPr>
        <w:t>)</w:t>
      </w:r>
    </w:p>
    <w:p w:rsidR="005A2764" w:rsidRPr="005A2764" w:rsidRDefault="005A2764" w:rsidP="005A2764">
      <w:pPr>
        <w:pStyle w:val="Paragraphedeliste"/>
        <w:numPr>
          <w:ilvl w:val="0"/>
          <w:numId w:val="7"/>
        </w:numPr>
        <w:pBdr>
          <w:top w:val="single" w:sz="4" w:space="1" w:color="auto"/>
          <w:left w:val="single" w:sz="4" w:space="4" w:color="auto"/>
          <w:bottom w:val="single" w:sz="4" w:space="0" w:color="auto"/>
          <w:right w:val="single" w:sz="4" w:space="5" w:color="auto"/>
        </w:pBdr>
        <w:spacing w:after="0" w:line="240" w:lineRule="auto"/>
        <w:ind w:left="426" w:hanging="426"/>
        <w:jc w:val="both"/>
        <w:rPr>
          <w:rFonts w:asciiTheme="majorBidi" w:hAnsiTheme="majorBidi" w:cstheme="majorBidi"/>
        </w:rPr>
      </w:pPr>
      <w:r w:rsidRPr="005A2764">
        <w:rPr>
          <w:rFonts w:asciiTheme="majorBidi" w:hAnsiTheme="majorBidi" w:cstheme="majorBidi"/>
        </w:rPr>
        <w:t xml:space="preserve">Concevoir, manipuler et normaliser une BD </w:t>
      </w:r>
    </w:p>
    <w:p w:rsidR="005A2764" w:rsidRPr="005A2764" w:rsidRDefault="005A2764" w:rsidP="005A2764">
      <w:pPr>
        <w:pStyle w:val="Paragraphedeliste"/>
        <w:numPr>
          <w:ilvl w:val="0"/>
          <w:numId w:val="7"/>
        </w:numPr>
        <w:pBdr>
          <w:top w:val="single" w:sz="4" w:space="1" w:color="auto"/>
          <w:left w:val="single" w:sz="4" w:space="4" w:color="auto"/>
          <w:bottom w:val="single" w:sz="4" w:space="0" w:color="auto"/>
          <w:right w:val="single" w:sz="4" w:space="5" w:color="auto"/>
        </w:pBdr>
        <w:spacing w:after="0" w:line="240" w:lineRule="auto"/>
        <w:ind w:left="426" w:hanging="426"/>
        <w:jc w:val="both"/>
        <w:rPr>
          <w:rFonts w:asciiTheme="majorBidi" w:hAnsiTheme="majorBidi" w:cstheme="majorBidi"/>
        </w:rPr>
      </w:pPr>
      <w:r w:rsidRPr="005A2764">
        <w:rPr>
          <w:rFonts w:asciiTheme="majorBidi" w:hAnsiTheme="majorBidi" w:cstheme="majorBidi"/>
        </w:rPr>
        <w:t>Maitriser le modèle relationnel à travers le langage algébrique relationnel ainsi que le langage SQL.</w:t>
      </w:r>
    </w:p>
    <w:p w:rsidR="005A2764" w:rsidRPr="005A2764" w:rsidRDefault="005A2764" w:rsidP="005A2764">
      <w:pPr>
        <w:pStyle w:val="Paragraphedeliste"/>
        <w:numPr>
          <w:ilvl w:val="0"/>
          <w:numId w:val="7"/>
        </w:numPr>
        <w:pBdr>
          <w:top w:val="single" w:sz="4" w:space="1" w:color="auto"/>
          <w:left w:val="single" w:sz="4" w:space="4" w:color="auto"/>
          <w:bottom w:val="single" w:sz="4" w:space="0" w:color="auto"/>
          <w:right w:val="single" w:sz="4" w:space="5" w:color="auto"/>
        </w:pBdr>
        <w:spacing w:after="0" w:line="240" w:lineRule="auto"/>
        <w:ind w:left="426" w:hanging="426"/>
        <w:jc w:val="both"/>
        <w:rPr>
          <w:rFonts w:asciiTheme="majorBidi" w:hAnsiTheme="majorBidi" w:cstheme="majorBidi"/>
          <w:lang w:bidi="ar-SA"/>
        </w:rPr>
      </w:pPr>
      <w:r w:rsidRPr="005A2764">
        <w:rPr>
          <w:rFonts w:asciiTheme="majorBidi" w:hAnsiTheme="majorBidi" w:cstheme="majorBidi"/>
        </w:rPr>
        <w:t>Assimiler les principes de base de l’extraction, la transformation et le chargement des données provenant de différentes sources</w:t>
      </w:r>
    </w:p>
    <w:p w:rsidR="00E26E37" w:rsidRDefault="00E26E37" w:rsidP="00E26E37">
      <w:pPr>
        <w:numPr>
          <w:ilvl w:val="0"/>
          <w:numId w:val="2"/>
        </w:numPr>
        <w:autoSpaceDE w:val="0"/>
        <w:autoSpaceDN w:val="0"/>
        <w:adjustRightInd w:val="0"/>
        <w:ind w:left="330" w:hanging="330"/>
        <w:rPr>
          <w:color w:val="0000FF"/>
          <w:lang w:bidi="ar-SA"/>
        </w:rPr>
      </w:pPr>
      <w:r>
        <w:rPr>
          <w:b/>
          <w:bCs/>
          <w:color w:val="0000FF"/>
          <w:lang w:bidi="ar-SA"/>
        </w:rPr>
        <w:t xml:space="preserve">Pré-requis </w:t>
      </w:r>
      <w:r>
        <w:rPr>
          <w:color w:val="0000FF"/>
          <w:lang w:bidi="ar-SA"/>
        </w:rPr>
        <w:t>(définir les UE et les compétences indispensables pour suivre l’UE concernée)</w:t>
      </w:r>
    </w:p>
    <w:p w:rsidR="00E26E37" w:rsidRPr="00EA3EFA" w:rsidRDefault="00E26E37" w:rsidP="00E26E37">
      <w:pPr>
        <w:pStyle w:val="Paragraphedeliste"/>
        <w:numPr>
          <w:ilvl w:val="0"/>
          <w:numId w:val="2"/>
        </w:numPr>
        <w:tabs>
          <w:tab w:val="left" w:pos="284"/>
        </w:tabs>
        <w:autoSpaceDE w:val="0"/>
        <w:autoSpaceDN w:val="0"/>
        <w:adjustRightInd w:val="0"/>
        <w:spacing w:after="0" w:line="240" w:lineRule="auto"/>
        <w:ind w:left="0" w:firstLine="0"/>
        <w:rPr>
          <w:rFonts w:ascii="Times New Roman" w:hAnsi="Times New Roman"/>
          <w:color w:val="000000"/>
          <w:sz w:val="20"/>
          <w:szCs w:val="20"/>
          <w:lang w:bidi="ar-SA"/>
        </w:rPr>
      </w:pPr>
      <w:r w:rsidRPr="00EA3EFA">
        <w:rPr>
          <w:rFonts w:ascii="Times New Roman" w:hAnsi="Times New Roman"/>
          <w:b/>
          <w:bCs/>
          <w:color w:val="0000FF"/>
          <w:sz w:val="24"/>
          <w:szCs w:val="24"/>
          <w:lang w:bidi="ar-SA"/>
        </w:rPr>
        <w:t xml:space="preserve">Eléments constitutifs de l’UE </w:t>
      </w:r>
      <w:r w:rsidRPr="00EA3EFA">
        <w:rPr>
          <w:rFonts w:ascii="Times New Roman" w:hAnsi="Times New Roman"/>
          <w:color w:val="0000FF"/>
          <w:sz w:val="24"/>
          <w:szCs w:val="24"/>
          <w:lang w:bidi="ar-SA"/>
        </w:rPr>
        <w:t>(ECUE)</w:t>
      </w:r>
    </w:p>
    <w:p w:rsidR="00E26E37" w:rsidRDefault="00E26E37" w:rsidP="00E26E37">
      <w:pPr>
        <w:pStyle w:val="Paragraphedeliste"/>
        <w:tabs>
          <w:tab w:val="left" w:pos="284"/>
        </w:tabs>
        <w:autoSpaceDE w:val="0"/>
        <w:autoSpaceDN w:val="0"/>
        <w:adjustRightInd w:val="0"/>
        <w:spacing w:after="0" w:line="240" w:lineRule="auto"/>
        <w:ind w:left="0"/>
        <w:rPr>
          <w:rFonts w:ascii="Times New Roman" w:hAnsi="Times New Roman"/>
          <w:b/>
          <w:bCs/>
          <w:color w:val="0000FF"/>
          <w:sz w:val="24"/>
          <w:szCs w:val="24"/>
          <w:lang w:bidi="ar-SA"/>
        </w:rPr>
      </w:pPr>
      <w:r>
        <w:rPr>
          <w:rFonts w:ascii="Times New Roman" w:hAnsi="Times New Roman"/>
          <w:b/>
          <w:bCs/>
          <w:color w:val="0000FF"/>
          <w:sz w:val="24"/>
          <w:szCs w:val="24"/>
          <w:lang w:bidi="ar-SA"/>
        </w:rPr>
        <w:t>3.1- Enseignements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7"/>
        <w:gridCol w:w="816"/>
        <w:gridCol w:w="1121"/>
        <w:gridCol w:w="1322"/>
        <w:gridCol w:w="1609"/>
        <w:gridCol w:w="1373"/>
      </w:tblGrid>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Eléments constitutifs</w:t>
            </w:r>
          </w:p>
        </w:tc>
        <w:tc>
          <w:tcPr>
            <w:tcW w:w="4868"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Volume horaire semestriel</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16"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Cours</w:t>
            </w:r>
          </w:p>
        </w:tc>
        <w:tc>
          <w:tcPr>
            <w:tcW w:w="112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TD</w:t>
            </w:r>
          </w:p>
        </w:tc>
        <w:tc>
          <w:tcPr>
            <w:tcW w:w="1322"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TP</w:t>
            </w:r>
          </w:p>
        </w:tc>
        <w:tc>
          <w:tcPr>
            <w:tcW w:w="1609"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2F1217" w:rsidRPr="00404595" w:rsidTr="00AE2AF2">
        <w:tc>
          <w:tcPr>
            <w:tcW w:w="3047" w:type="dxa"/>
            <w:vAlign w:val="center"/>
          </w:tcPr>
          <w:p w:rsidR="002F1217" w:rsidRPr="008263CA" w:rsidRDefault="002F1217" w:rsidP="00CD0AE9">
            <w:pPr>
              <w:pStyle w:val="Contenudetableau"/>
              <w:snapToGrid w:val="0"/>
              <w:jc w:val="center"/>
              <w:rPr>
                <w:rFonts w:cs="Times New Roman"/>
                <w:sz w:val="18"/>
                <w:szCs w:val="18"/>
              </w:rPr>
            </w:pPr>
            <w:r w:rsidRPr="008263CA">
              <w:rPr>
                <w:rFonts w:cs="Times New Roman"/>
                <w:sz w:val="18"/>
                <w:szCs w:val="18"/>
              </w:rPr>
              <w:t>Bases de données avancées</w:t>
            </w:r>
          </w:p>
        </w:tc>
        <w:tc>
          <w:tcPr>
            <w:tcW w:w="816" w:type="dxa"/>
            <w:tcBorders>
              <w:right w:val="single" w:sz="4" w:space="0" w:color="auto"/>
            </w:tcBorders>
            <w:vAlign w:val="center"/>
          </w:tcPr>
          <w:p w:rsidR="002F1217" w:rsidRPr="00404595" w:rsidRDefault="002F121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Pr>
                <w:rFonts w:ascii="Times New Roman" w:hAnsi="Times New Roman"/>
                <w:color w:val="000000"/>
                <w:sz w:val="24"/>
                <w:szCs w:val="24"/>
                <w:lang w:bidi="ar-SA"/>
              </w:rPr>
              <w:t>21</w:t>
            </w:r>
          </w:p>
        </w:tc>
        <w:tc>
          <w:tcPr>
            <w:tcW w:w="1121" w:type="dxa"/>
            <w:tcBorders>
              <w:left w:val="single" w:sz="4" w:space="0" w:color="auto"/>
              <w:right w:val="single" w:sz="4" w:space="0" w:color="auto"/>
            </w:tcBorders>
            <w:vAlign w:val="center"/>
          </w:tcPr>
          <w:p w:rsidR="002F1217" w:rsidRPr="00404595" w:rsidRDefault="002F121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p>
        </w:tc>
        <w:tc>
          <w:tcPr>
            <w:tcW w:w="1322" w:type="dxa"/>
            <w:tcBorders>
              <w:left w:val="single" w:sz="4" w:space="0" w:color="auto"/>
              <w:right w:val="single" w:sz="4" w:space="0" w:color="auto"/>
            </w:tcBorders>
            <w:vAlign w:val="center"/>
          </w:tcPr>
          <w:p w:rsidR="002F1217" w:rsidRPr="00404595" w:rsidRDefault="002F1217" w:rsidP="00CD0AE9">
            <w:pPr>
              <w:jc w:val="center"/>
            </w:pPr>
            <w:r w:rsidRPr="00404595">
              <w:rPr>
                <w:color w:val="000000"/>
                <w:lang w:bidi="ar-SA"/>
              </w:rPr>
              <w:t>……..</w:t>
            </w:r>
          </w:p>
        </w:tc>
        <w:tc>
          <w:tcPr>
            <w:tcW w:w="1609" w:type="dxa"/>
            <w:tcBorders>
              <w:left w:val="single" w:sz="4" w:space="0" w:color="auto"/>
            </w:tcBorders>
            <w:vAlign w:val="center"/>
          </w:tcPr>
          <w:p w:rsidR="002F1217" w:rsidRPr="00404595" w:rsidRDefault="002F1217" w:rsidP="00CD0AE9">
            <w:pPr>
              <w:jc w:val="center"/>
            </w:pPr>
            <w:r w:rsidRPr="00404595">
              <w:rPr>
                <w:color w:val="000000"/>
                <w:lang w:bidi="ar-SA"/>
              </w:rPr>
              <w:t>……..</w:t>
            </w:r>
          </w:p>
        </w:tc>
        <w:tc>
          <w:tcPr>
            <w:tcW w:w="1373" w:type="dxa"/>
            <w:vAlign w:val="center"/>
          </w:tcPr>
          <w:p w:rsidR="002F1217" w:rsidRPr="00CC3577" w:rsidRDefault="002F1217" w:rsidP="00CD0AE9">
            <w:pPr>
              <w:jc w:val="center"/>
              <w:rPr>
                <w:sz w:val="20"/>
                <w:szCs w:val="20"/>
              </w:rPr>
            </w:pPr>
            <w:r>
              <w:rPr>
                <w:sz w:val="20"/>
                <w:szCs w:val="20"/>
              </w:rPr>
              <w:t>4</w:t>
            </w:r>
          </w:p>
        </w:tc>
      </w:tr>
      <w:tr w:rsidR="002F1217" w:rsidRPr="00404595" w:rsidTr="00AE2AF2">
        <w:trPr>
          <w:trHeight w:val="241"/>
        </w:trPr>
        <w:tc>
          <w:tcPr>
            <w:tcW w:w="3047" w:type="dxa"/>
            <w:vAlign w:val="center"/>
          </w:tcPr>
          <w:p w:rsidR="002F1217" w:rsidRPr="008263CA" w:rsidRDefault="002F1217" w:rsidP="00CD0AE9">
            <w:pPr>
              <w:pStyle w:val="Contenudetableau"/>
              <w:snapToGrid w:val="0"/>
              <w:jc w:val="center"/>
              <w:rPr>
                <w:rFonts w:cs="Times New Roman"/>
                <w:sz w:val="18"/>
                <w:szCs w:val="18"/>
              </w:rPr>
            </w:pPr>
            <w:proofErr w:type="spellStart"/>
            <w:r w:rsidRPr="008263CA">
              <w:rPr>
                <w:rFonts w:cs="Times New Roman"/>
                <w:sz w:val="18"/>
                <w:szCs w:val="18"/>
              </w:rPr>
              <w:t>Datawarehouse</w:t>
            </w:r>
            <w:proofErr w:type="spellEnd"/>
            <w:r w:rsidRPr="008263CA">
              <w:rPr>
                <w:rFonts w:cs="Times New Roman"/>
                <w:sz w:val="18"/>
                <w:szCs w:val="18"/>
              </w:rPr>
              <w:t xml:space="preserve">, </w:t>
            </w:r>
            <w:proofErr w:type="spellStart"/>
            <w:r w:rsidRPr="008263CA">
              <w:rPr>
                <w:rFonts w:cs="Times New Roman"/>
                <w:sz w:val="18"/>
                <w:szCs w:val="18"/>
              </w:rPr>
              <w:t>dataming</w:t>
            </w:r>
            <w:proofErr w:type="spellEnd"/>
          </w:p>
        </w:tc>
        <w:tc>
          <w:tcPr>
            <w:tcW w:w="816" w:type="dxa"/>
            <w:tcBorders>
              <w:right w:val="single" w:sz="4" w:space="0" w:color="auto"/>
            </w:tcBorders>
            <w:vAlign w:val="center"/>
          </w:tcPr>
          <w:p w:rsidR="002F1217" w:rsidRPr="00BA15E3" w:rsidRDefault="002F1217" w:rsidP="00CD0AE9">
            <w:pPr>
              <w:jc w:val="center"/>
              <w:rPr>
                <w:sz w:val="20"/>
                <w:szCs w:val="20"/>
              </w:rPr>
            </w:pPr>
            <w:r>
              <w:rPr>
                <w:sz w:val="20"/>
                <w:szCs w:val="20"/>
              </w:rPr>
              <w:t>21</w:t>
            </w:r>
          </w:p>
        </w:tc>
        <w:tc>
          <w:tcPr>
            <w:tcW w:w="1121" w:type="dxa"/>
            <w:tcBorders>
              <w:left w:val="single" w:sz="4" w:space="0" w:color="auto"/>
              <w:right w:val="single" w:sz="4" w:space="0" w:color="auto"/>
            </w:tcBorders>
            <w:vAlign w:val="center"/>
          </w:tcPr>
          <w:p w:rsidR="002F1217" w:rsidRPr="00CC3577" w:rsidRDefault="002F1217" w:rsidP="00CD0AE9">
            <w:pPr>
              <w:jc w:val="center"/>
              <w:rPr>
                <w:sz w:val="20"/>
                <w:szCs w:val="20"/>
              </w:rPr>
            </w:pPr>
          </w:p>
        </w:tc>
        <w:tc>
          <w:tcPr>
            <w:tcW w:w="1322" w:type="dxa"/>
            <w:tcBorders>
              <w:left w:val="single" w:sz="4" w:space="0" w:color="auto"/>
              <w:right w:val="single" w:sz="4" w:space="0" w:color="auto"/>
            </w:tcBorders>
          </w:tcPr>
          <w:p w:rsidR="002F1217" w:rsidRPr="00404595" w:rsidRDefault="002F1217" w:rsidP="00CD0AE9"/>
        </w:tc>
        <w:tc>
          <w:tcPr>
            <w:tcW w:w="1609" w:type="dxa"/>
            <w:tcBorders>
              <w:left w:val="single" w:sz="4" w:space="0" w:color="auto"/>
            </w:tcBorders>
          </w:tcPr>
          <w:p w:rsidR="002F1217" w:rsidRPr="00404595" w:rsidRDefault="005A2764" w:rsidP="00CD0AE9">
            <w:r>
              <w:t>Mini-projets</w:t>
            </w:r>
          </w:p>
        </w:tc>
        <w:tc>
          <w:tcPr>
            <w:tcW w:w="1373" w:type="dxa"/>
            <w:vAlign w:val="center"/>
          </w:tcPr>
          <w:p w:rsidR="002F1217" w:rsidRPr="00CC3577" w:rsidRDefault="00B96D45" w:rsidP="00CD0AE9">
            <w:pPr>
              <w:jc w:val="center"/>
              <w:rPr>
                <w:sz w:val="20"/>
                <w:szCs w:val="20"/>
              </w:rPr>
            </w:pPr>
            <w:r>
              <w:rPr>
                <w:sz w:val="20"/>
                <w:szCs w:val="20"/>
              </w:rPr>
              <w:t>3</w:t>
            </w:r>
          </w:p>
        </w:tc>
      </w:tr>
      <w:tr w:rsidR="00E26E37" w:rsidRPr="00404595" w:rsidTr="00CD0AE9">
        <w:trPr>
          <w:trHeight w:val="241"/>
        </w:trPr>
        <w:tc>
          <w:tcPr>
            <w:tcW w:w="3047" w:type="dxa"/>
            <w:tcBorders>
              <w:bottom w:val="single" w:sz="4" w:space="0" w:color="000000"/>
            </w:tcBorders>
          </w:tcPr>
          <w:p w:rsidR="00E26E37" w:rsidRPr="00110A58" w:rsidRDefault="00E26E37" w:rsidP="00CD0AE9">
            <w:pPr>
              <w:pStyle w:val="Paragraphedeliste"/>
              <w:tabs>
                <w:tab w:val="left" w:pos="284"/>
              </w:tabs>
              <w:autoSpaceDE w:val="0"/>
              <w:autoSpaceDN w:val="0"/>
              <w:adjustRightInd w:val="0"/>
              <w:jc w:val="center"/>
              <w:rPr>
                <w:rFonts w:ascii="Times New Roman" w:hAnsi="Times New Roman"/>
                <w:b/>
                <w:bCs/>
                <w:color w:val="000000"/>
                <w:sz w:val="24"/>
                <w:szCs w:val="24"/>
                <w:lang w:bidi="ar-SA"/>
              </w:rPr>
            </w:pPr>
            <w:r w:rsidRPr="00110A58">
              <w:rPr>
                <w:rFonts w:ascii="Times New Roman" w:hAnsi="Times New Roman"/>
                <w:b/>
                <w:bCs/>
                <w:color w:val="000000"/>
                <w:sz w:val="24"/>
                <w:szCs w:val="24"/>
                <w:lang w:bidi="ar-SA"/>
              </w:rPr>
              <w:t>Total</w:t>
            </w:r>
          </w:p>
        </w:tc>
        <w:tc>
          <w:tcPr>
            <w:tcW w:w="816" w:type="dxa"/>
            <w:tcBorders>
              <w:bottom w:val="single" w:sz="4" w:space="0" w:color="000000"/>
              <w:right w:val="single" w:sz="4" w:space="0" w:color="auto"/>
            </w:tcBorders>
            <w:vAlign w:val="center"/>
          </w:tcPr>
          <w:p w:rsidR="00E26E37" w:rsidRPr="00110A58" w:rsidRDefault="00176649" w:rsidP="00CD0AE9">
            <w:pPr>
              <w:jc w:val="center"/>
              <w:rPr>
                <w:b/>
                <w:bCs/>
                <w:sz w:val="20"/>
                <w:szCs w:val="20"/>
              </w:rPr>
            </w:pPr>
            <w:r>
              <w:rPr>
                <w:b/>
                <w:bCs/>
                <w:sz w:val="20"/>
                <w:szCs w:val="20"/>
              </w:rPr>
              <w:t>42</w:t>
            </w:r>
          </w:p>
        </w:tc>
        <w:tc>
          <w:tcPr>
            <w:tcW w:w="1121" w:type="dxa"/>
            <w:tcBorders>
              <w:left w:val="single" w:sz="4" w:space="0" w:color="auto"/>
              <w:bottom w:val="single" w:sz="4" w:space="0" w:color="000000"/>
              <w:right w:val="single" w:sz="4" w:space="0" w:color="auto"/>
            </w:tcBorders>
            <w:vAlign w:val="center"/>
          </w:tcPr>
          <w:p w:rsidR="00E26E37" w:rsidRPr="00110A58" w:rsidRDefault="004403AB" w:rsidP="00CD0AE9">
            <w:pPr>
              <w:jc w:val="center"/>
              <w:rPr>
                <w:b/>
                <w:bCs/>
                <w:sz w:val="20"/>
                <w:szCs w:val="20"/>
              </w:rPr>
            </w:pPr>
            <w:r>
              <w:rPr>
                <w:b/>
                <w:bCs/>
                <w:sz w:val="20"/>
                <w:szCs w:val="20"/>
              </w:rPr>
              <w:t>0</w:t>
            </w:r>
          </w:p>
        </w:tc>
        <w:tc>
          <w:tcPr>
            <w:tcW w:w="1322" w:type="dxa"/>
            <w:tcBorders>
              <w:left w:val="single" w:sz="4" w:space="0" w:color="auto"/>
              <w:bottom w:val="single" w:sz="4" w:space="0" w:color="000000"/>
              <w:right w:val="single" w:sz="4" w:space="0" w:color="auto"/>
            </w:tcBorders>
          </w:tcPr>
          <w:p w:rsidR="00E26E37" w:rsidRPr="00110A58" w:rsidRDefault="00E26E37" w:rsidP="00CD0AE9">
            <w:pPr>
              <w:jc w:val="center"/>
              <w:rPr>
                <w:b/>
                <w:bCs/>
              </w:rPr>
            </w:pPr>
            <w:r w:rsidRPr="00110A58">
              <w:rPr>
                <w:b/>
                <w:bCs/>
              </w:rPr>
              <w:t>0</w:t>
            </w:r>
          </w:p>
        </w:tc>
        <w:tc>
          <w:tcPr>
            <w:tcW w:w="1609" w:type="dxa"/>
            <w:tcBorders>
              <w:left w:val="single" w:sz="4" w:space="0" w:color="auto"/>
              <w:bottom w:val="single" w:sz="4" w:space="0" w:color="000000"/>
            </w:tcBorders>
          </w:tcPr>
          <w:p w:rsidR="00E26E37" w:rsidRPr="00110A58" w:rsidRDefault="00E26E37" w:rsidP="00CD0AE9">
            <w:pPr>
              <w:jc w:val="center"/>
              <w:rPr>
                <w:b/>
                <w:bCs/>
              </w:rPr>
            </w:pPr>
            <w:r w:rsidRPr="00110A58">
              <w:rPr>
                <w:b/>
                <w:bCs/>
              </w:rPr>
              <w:t>0</w:t>
            </w:r>
          </w:p>
        </w:tc>
        <w:tc>
          <w:tcPr>
            <w:tcW w:w="1373" w:type="dxa"/>
            <w:tcBorders>
              <w:bottom w:val="single" w:sz="4" w:space="0" w:color="000000"/>
            </w:tcBorders>
          </w:tcPr>
          <w:p w:rsidR="00E26E37" w:rsidRPr="00110A58" w:rsidRDefault="00B96D45" w:rsidP="00CD0AE9">
            <w:pPr>
              <w:jc w:val="center"/>
              <w:rPr>
                <w:b/>
                <w:bCs/>
              </w:rPr>
            </w:pPr>
            <w:r>
              <w:rPr>
                <w:b/>
                <w:bCs/>
              </w:rPr>
              <w:t>7</w:t>
            </w:r>
          </w:p>
        </w:tc>
      </w:tr>
    </w:tbl>
    <w:p w:rsidR="00E26E37" w:rsidRDefault="00E26E37" w:rsidP="00E26E37">
      <w:pPr>
        <w:autoSpaceDE w:val="0"/>
        <w:autoSpaceDN w:val="0"/>
        <w:adjustRightInd w:val="0"/>
        <w:rPr>
          <w:b/>
          <w:bCs/>
          <w:color w:val="0000FF"/>
          <w:lang w:bidi="ar-SA"/>
        </w:rPr>
      </w:pPr>
    </w:p>
    <w:p w:rsidR="00E26E37" w:rsidRPr="00803DE9" w:rsidRDefault="00E26E37" w:rsidP="00E26E37">
      <w:pPr>
        <w:autoSpaceDE w:val="0"/>
        <w:autoSpaceDN w:val="0"/>
        <w:adjustRightInd w:val="0"/>
        <w:rPr>
          <w:b/>
          <w:bCs/>
          <w:color w:val="0000FF"/>
          <w:lang w:bidi="ar-SA"/>
        </w:rPr>
      </w:pPr>
      <w:r w:rsidRPr="00803DE9">
        <w:rPr>
          <w:b/>
          <w:bCs/>
          <w:color w:val="0000FF"/>
          <w:lang w:bidi="ar-SA"/>
        </w:rPr>
        <w:t xml:space="preserve">3.2- Activités pratiques :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4"/>
        <w:gridCol w:w="1881"/>
        <w:gridCol w:w="1201"/>
        <w:gridCol w:w="1433"/>
        <w:gridCol w:w="856"/>
        <w:gridCol w:w="910"/>
      </w:tblGrid>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Activités Pratiques de l’UE</w:t>
            </w:r>
          </w:p>
        </w:tc>
        <w:tc>
          <w:tcPr>
            <w:tcW w:w="5371"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Durée </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Travaux sur terrain </w:t>
            </w:r>
          </w:p>
        </w:tc>
        <w:tc>
          <w:tcPr>
            <w:tcW w:w="120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Projet</w:t>
            </w: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stage</w:t>
            </w:r>
          </w:p>
        </w:tc>
        <w:tc>
          <w:tcPr>
            <w:tcW w:w="856"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0A0628"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hanging="720"/>
              <w:rPr>
                <w:rFonts w:ascii="Times New Roman" w:hAnsi="Times New Roman"/>
                <w:color w:val="000000"/>
                <w:sz w:val="24"/>
                <w:szCs w:val="24"/>
                <w:lang w:bidi="ar-SA"/>
              </w:rPr>
            </w:pPr>
            <w:r>
              <w:rPr>
                <w:rFonts w:ascii="Times New Roman" w:hAnsi="Times New Roman"/>
                <w:color w:val="000000"/>
                <w:sz w:val="24"/>
                <w:szCs w:val="24"/>
                <w:lang w:bidi="ar-SA"/>
              </w:rPr>
              <w:t xml:space="preserve">Projet à réaliser par groupe </w:t>
            </w: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right w:val="single" w:sz="4" w:space="0" w:color="auto"/>
            </w:tcBorders>
          </w:tcPr>
          <w:p w:rsidR="00E26E37" w:rsidRPr="00404595" w:rsidRDefault="005A2764"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Pr>
                <w:rFonts w:ascii="Times New Roman" w:hAnsi="Times New Roman"/>
                <w:color w:val="000000"/>
                <w:sz w:val="24"/>
                <w:szCs w:val="24"/>
                <w:lang w:bidi="ar-SA"/>
              </w:rPr>
              <w:t>X</w:t>
            </w: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404595" w:rsidTr="00CD0AE9">
        <w:trPr>
          <w:trHeight w:val="265"/>
        </w:trPr>
        <w:tc>
          <w:tcPr>
            <w:tcW w:w="3254"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Total </w:t>
            </w:r>
          </w:p>
        </w:tc>
        <w:tc>
          <w:tcPr>
            <w:tcW w:w="1881" w:type="dxa"/>
            <w:tcBorders>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433"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bl>
    <w:p w:rsidR="00E26E37" w:rsidRDefault="00E26E37" w:rsidP="00E26E37">
      <w:pPr>
        <w:autoSpaceDE w:val="0"/>
        <w:autoSpaceDN w:val="0"/>
        <w:adjustRightInd w:val="0"/>
        <w:rPr>
          <w:b/>
          <w:bCs/>
          <w:color w:val="0000FF"/>
          <w:lang w:bidi="ar-SA"/>
        </w:rPr>
      </w:pPr>
    </w:p>
    <w:p w:rsidR="00E26E37" w:rsidRPr="008451B0" w:rsidRDefault="00E26E37" w:rsidP="00E26E37">
      <w:pPr>
        <w:pStyle w:val="Paragraphedeliste"/>
        <w:numPr>
          <w:ilvl w:val="0"/>
          <w:numId w:val="3"/>
        </w:numPr>
        <w:autoSpaceDE w:val="0"/>
        <w:autoSpaceDN w:val="0"/>
        <w:adjustRightInd w:val="0"/>
        <w:spacing w:after="0" w:line="240" w:lineRule="auto"/>
        <w:ind w:left="360"/>
        <w:rPr>
          <w:rFonts w:ascii="Times New Roman" w:hAnsi="Times New Roman"/>
          <w:color w:val="0000FF"/>
          <w:sz w:val="24"/>
          <w:szCs w:val="24"/>
          <w:lang w:bidi="ar-SA"/>
        </w:rPr>
      </w:pPr>
      <w:r w:rsidRPr="008451B0">
        <w:rPr>
          <w:rFonts w:ascii="Times New Roman" w:hAnsi="Times New Roman"/>
          <w:b/>
          <w:bCs/>
          <w:color w:val="0000FF"/>
          <w:sz w:val="24"/>
          <w:szCs w:val="24"/>
          <w:lang w:bidi="ar-SA"/>
        </w:rPr>
        <w:t xml:space="preserve">Contenu </w:t>
      </w:r>
      <w:r w:rsidRPr="008451B0">
        <w:rPr>
          <w:rFonts w:ascii="Times New Roman" w:hAnsi="Times New Roman"/>
          <w:color w:val="0000FF"/>
          <w:sz w:val="24"/>
          <w:szCs w:val="24"/>
          <w:lang w:bidi="ar-SA"/>
        </w:rPr>
        <w:t>(descriptifs et plans des cours)</w:t>
      </w:r>
    </w:p>
    <w:p w:rsidR="00E26E37" w:rsidRPr="008451B0" w:rsidRDefault="00E26E37" w:rsidP="00E26E37">
      <w:pPr>
        <w:pStyle w:val="Paragraphedeliste"/>
        <w:autoSpaceDE w:val="0"/>
        <w:autoSpaceDN w:val="0"/>
        <w:adjustRightInd w:val="0"/>
        <w:spacing w:after="0" w:line="240" w:lineRule="auto"/>
        <w:rPr>
          <w:rFonts w:ascii="Times New Roman" w:hAnsi="Times New Roman"/>
          <w:color w:val="000000"/>
          <w:sz w:val="20"/>
          <w:szCs w:val="20"/>
          <w:lang w:bidi="ar-SA"/>
        </w:rPr>
      </w:pPr>
    </w:p>
    <w:p w:rsidR="00E26E37" w:rsidRDefault="00E26E37" w:rsidP="00E26E37">
      <w:pPr>
        <w:autoSpaceDE w:val="0"/>
        <w:autoSpaceDN w:val="0"/>
        <w:adjustRightInd w:val="0"/>
        <w:rPr>
          <w:rFonts w:eastAsia="Rockwell"/>
          <w:color w:val="000000"/>
          <w:sz w:val="20"/>
          <w:szCs w:val="20"/>
          <w:lang w:bidi="ar-SA"/>
        </w:rPr>
      </w:pPr>
      <w:r>
        <w:rPr>
          <w:color w:val="000000"/>
          <w:sz w:val="20"/>
          <w:szCs w:val="20"/>
          <w:lang w:bidi="ar-SA"/>
        </w:rPr>
        <w:t xml:space="preserve"> </w:t>
      </w:r>
      <w:r>
        <w:rPr>
          <w:rFonts w:eastAsia="Rockwell"/>
          <w:b/>
          <w:bCs/>
          <w:color w:val="810000"/>
          <w:lang w:bidi="ar-SA"/>
        </w:rPr>
        <w:t xml:space="preserve">4.1- Enseignements </w:t>
      </w:r>
      <w:r>
        <w:rPr>
          <w:rFonts w:eastAsia="Rockwell"/>
          <w:color w:val="810000"/>
          <w:lang w:bidi="ar-SA"/>
        </w:rPr>
        <w:t>(Présenter une description succincte des programmes de chaque ECUE et joindre le programme détaillé à la fiche descriptive de l’UE)</w:t>
      </w:r>
    </w:p>
    <w:p w:rsidR="00E26E37" w:rsidRPr="00803DE9" w:rsidRDefault="00E26E37" w:rsidP="00E26E37">
      <w:pPr>
        <w:autoSpaceDE w:val="0"/>
        <w:autoSpaceDN w:val="0"/>
        <w:adjustRightInd w:val="0"/>
        <w:rPr>
          <w:rFonts w:eastAsia="Rockwell"/>
          <w:color w:val="000000"/>
          <w:sz w:val="20"/>
          <w:szCs w:val="20"/>
          <w:lang w:bidi="ar-SA"/>
        </w:rPr>
      </w:pPr>
    </w:p>
    <w:p w:rsidR="00E26E37" w:rsidRDefault="002F1217" w:rsidP="002F1217">
      <w:pPr>
        <w:pStyle w:val="texteifgp2"/>
        <w:pBdr>
          <w:top w:val="single" w:sz="4" w:space="1" w:color="auto"/>
          <w:left w:val="single" w:sz="4" w:space="4" w:color="auto"/>
          <w:bottom w:val="single" w:sz="4" w:space="1" w:color="auto"/>
          <w:right w:val="single" w:sz="4" w:space="4" w:color="auto"/>
        </w:pBdr>
        <w:spacing w:before="0" w:beforeAutospacing="0" w:after="0" w:afterAutospacing="0"/>
        <w:rPr>
          <w:rFonts w:asciiTheme="majorBidi" w:eastAsia="Calibri" w:hAnsiTheme="majorBidi" w:cstheme="majorBidi"/>
          <w:color w:val="000000"/>
          <w:sz w:val="18"/>
          <w:szCs w:val="18"/>
        </w:rPr>
      </w:pPr>
      <w:r w:rsidRPr="008263CA">
        <w:rPr>
          <w:sz w:val="18"/>
          <w:szCs w:val="18"/>
        </w:rPr>
        <w:t>Bases de données avancées</w:t>
      </w:r>
      <w:r>
        <w:rPr>
          <w:sz w:val="18"/>
          <w:szCs w:val="18"/>
        </w:rPr>
        <w:t xml:space="preserve"> </w:t>
      </w:r>
      <w:r w:rsidR="00176649">
        <w:rPr>
          <w:sz w:val="18"/>
          <w:szCs w:val="18"/>
        </w:rPr>
        <w:t xml:space="preserve">ET </w:t>
      </w:r>
      <w:proofErr w:type="spellStart"/>
      <w:r w:rsidRPr="008263CA">
        <w:rPr>
          <w:sz w:val="18"/>
          <w:szCs w:val="18"/>
        </w:rPr>
        <w:t>Datawarehouse</w:t>
      </w:r>
      <w:proofErr w:type="spellEnd"/>
      <w:r w:rsidRPr="008263CA">
        <w:rPr>
          <w:sz w:val="18"/>
          <w:szCs w:val="18"/>
        </w:rPr>
        <w:t xml:space="preserve">, </w:t>
      </w:r>
      <w:proofErr w:type="spellStart"/>
      <w:r w:rsidRPr="008263CA">
        <w:rPr>
          <w:sz w:val="18"/>
          <w:szCs w:val="18"/>
        </w:rPr>
        <w:t>dataming</w:t>
      </w:r>
      <w:proofErr w:type="spellEnd"/>
      <w:r w:rsidR="00176649">
        <w:rPr>
          <w:sz w:val="18"/>
          <w:szCs w:val="18"/>
        </w:rPr>
        <w:t>.</w:t>
      </w:r>
    </w:p>
    <w:p w:rsidR="004403AB" w:rsidRPr="004403AB" w:rsidRDefault="004403AB" w:rsidP="004403AB">
      <w:pPr>
        <w:pStyle w:val="texteifgp2"/>
        <w:pBdr>
          <w:top w:val="single" w:sz="4" w:space="1" w:color="auto"/>
          <w:left w:val="single" w:sz="4" w:space="4" w:color="auto"/>
          <w:bottom w:val="single" w:sz="4" w:space="1" w:color="auto"/>
          <w:right w:val="single" w:sz="4" w:space="4" w:color="auto"/>
        </w:pBdr>
        <w:spacing w:before="0" w:beforeAutospacing="0" w:after="0" w:afterAutospacing="0"/>
      </w:pPr>
    </w:p>
    <w:p w:rsidR="00E26E37" w:rsidRDefault="00E26E37" w:rsidP="00E26E37">
      <w:pPr>
        <w:autoSpaceDE w:val="0"/>
        <w:autoSpaceDN w:val="0"/>
        <w:adjustRightInd w:val="0"/>
        <w:rPr>
          <w:rFonts w:eastAsia="Rockwell"/>
          <w:color w:val="810000"/>
          <w:lang w:bidi="ar-SA"/>
        </w:rPr>
      </w:pPr>
      <w:r>
        <w:rPr>
          <w:rFonts w:eastAsia="Rockwell"/>
          <w:b/>
          <w:bCs/>
          <w:color w:val="810000"/>
          <w:lang w:bidi="ar-SA"/>
        </w:rPr>
        <w:t xml:space="preserve">4.2- Activités pratiques de l’UE </w:t>
      </w:r>
      <w:r>
        <w:rPr>
          <w:rFonts w:eastAsia="Rockwell"/>
          <w:color w:val="810000"/>
          <w:lang w:bidi="ar-SA"/>
        </w:rPr>
        <w:t>(Présenter une description succincte des objectifs, des contenus et des procédures d’organisation de chaque activité)</w:t>
      </w:r>
    </w:p>
    <w:p w:rsidR="00E26E37" w:rsidRDefault="00E26E37" w:rsidP="00E26E37">
      <w:pPr>
        <w:autoSpaceDE w:val="0"/>
        <w:autoSpaceDN w:val="0"/>
        <w:adjustRightInd w:val="0"/>
        <w:rPr>
          <w:rFonts w:eastAsia="Rockwell"/>
          <w:color w:val="000000"/>
          <w:sz w:val="20"/>
          <w:szCs w:val="20"/>
          <w:lang w:bidi="ar-SA"/>
        </w:rPr>
      </w:pPr>
    </w:p>
    <w:p w:rsidR="00E26E37" w:rsidRPr="000B5171" w:rsidRDefault="00E26E37" w:rsidP="005A2764">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hAnsi="Times New Roman"/>
          <w:sz w:val="24"/>
          <w:szCs w:val="24"/>
        </w:rPr>
      </w:pPr>
      <w:r w:rsidRPr="000B5171">
        <w:rPr>
          <w:rFonts w:ascii="Times New Roman" w:eastAsia="Rockwell" w:hAnsi="Times New Roman"/>
          <w:color w:val="000000"/>
          <w:sz w:val="24"/>
          <w:szCs w:val="24"/>
          <w:lang w:bidi="ar-SA"/>
        </w:rPr>
        <w:lastRenderedPageBreak/>
        <w:t xml:space="preserve">Ce cours est basé sur </w:t>
      </w:r>
      <w:r w:rsidR="005A2764">
        <w:rPr>
          <w:rFonts w:ascii="Times New Roman" w:eastAsia="Rockwell" w:hAnsi="Times New Roman"/>
          <w:color w:val="000000"/>
          <w:sz w:val="24"/>
          <w:szCs w:val="24"/>
          <w:lang w:bidi="ar-SA"/>
        </w:rPr>
        <w:t xml:space="preserve">des exercices </w:t>
      </w:r>
      <w:r w:rsidRPr="000B5171">
        <w:rPr>
          <w:rFonts w:ascii="Times New Roman" w:eastAsia="Rockwell" w:hAnsi="Times New Roman"/>
          <w:color w:val="000000"/>
          <w:sz w:val="24"/>
          <w:szCs w:val="24"/>
          <w:lang w:bidi="ar-SA"/>
        </w:rPr>
        <w:t xml:space="preserve">portant sur des aspects divers de la </w:t>
      </w:r>
      <w:r w:rsidR="002F1217">
        <w:rPr>
          <w:rFonts w:ascii="Times New Roman" w:eastAsia="Rockwell" w:hAnsi="Times New Roman"/>
          <w:color w:val="000000"/>
          <w:sz w:val="24"/>
          <w:szCs w:val="24"/>
          <w:lang w:bidi="ar-SA"/>
        </w:rPr>
        <w:t>SGBD</w:t>
      </w:r>
      <w:r w:rsidR="004403AB">
        <w:rPr>
          <w:rFonts w:ascii="Times New Roman" w:eastAsia="Rockwell" w:hAnsi="Times New Roman"/>
          <w:color w:val="000000"/>
          <w:sz w:val="24"/>
          <w:szCs w:val="24"/>
          <w:lang w:bidi="ar-SA"/>
        </w:rPr>
        <w:t>.</w:t>
      </w:r>
    </w:p>
    <w:p w:rsidR="00E26E37" w:rsidRPr="00D36369" w:rsidRDefault="00E26E37" w:rsidP="00E26E37">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eastAsia="Rockwell" w:hAnsi="Times New Roman"/>
          <w:color w:val="0000FF"/>
          <w:sz w:val="24"/>
          <w:szCs w:val="24"/>
          <w:lang w:bidi="ar-SA"/>
        </w:rPr>
      </w:pPr>
    </w:p>
    <w:p w:rsidR="00E26E37" w:rsidRDefault="00E26E37" w:rsidP="00E26E37">
      <w:pPr>
        <w:pStyle w:val="Paragraphedeliste"/>
        <w:numPr>
          <w:ilvl w:val="0"/>
          <w:numId w:val="3"/>
        </w:numPr>
        <w:autoSpaceDE w:val="0"/>
        <w:autoSpaceDN w:val="0"/>
        <w:adjustRightInd w:val="0"/>
        <w:spacing w:after="0" w:line="240" w:lineRule="auto"/>
        <w:ind w:left="284" w:hanging="284"/>
        <w:rPr>
          <w:rFonts w:ascii="Times New Roman" w:eastAsia="Rockwell" w:hAnsi="Times New Roman"/>
          <w:color w:val="0000FF"/>
          <w:sz w:val="24"/>
          <w:szCs w:val="24"/>
          <w:lang w:bidi="ar-SA"/>
        </w:rPr>
      </w:pPr>
      <w:r w:rsidRPr="00803DE9">
        <w:rPr>
          <w:rFonts w:ascii="Times New Roman" w:eastAsia="Rockwell" w:hAnsi="Times New Roman"/>
          <w:b/>
          <w:bCs/>
          <w:color w:val="0000FF"/>
          <w:sz w:val="24"/>
          <w:szCs w:val="24"/>
          <w:lang w:bidi="ar-SA"/>
        </w:rPr>
        <w:t xml:space="preserve">Méthodes pédagogiques et moyens didactiques spécifiques à l’UE </w:t>
      </w:r>
      <w:r w:rsidRPr="00803DE9">
        <w:rPr>
          <w:rFonts w:ascii="Times New Roman" w:eastAsia="Rockwell" w:hAnsi="Times New Roman"/>
          <w:color w:val="0000FF"/>
          <w:sz w:val="24"/>
          <w:szCs w:val="24"/>
          <w:lang w:bidi="ar-SA"/>
        </w:rPr>
        <w:t>(méthodes et outils pédagogiques, ouvrages de référence, recours aux TIC – possibilités d’enseignement à distance…)</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 xml:space="preserve">1- </w:t>
      </w:r>
      <w:r>
        <w:rPr>
          <w:lang w:bidi="ar-SA"/>
        </w:rPr>
        <w:t xml:space="preserve">Présentation théorique : Powerpoint </w:t>
      </w:r>
    </w:p>
    <w:p w:rsidR="00E26E37" w:rsidRDefault="00E26E37" w:rsidP="005A2764">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sidRPr="00803DE9">
        <w:rPr>
          <w:lang w:bidi="ar-SA"/>
        </w:rPr>
        <w:t xml:space="preserve">2- </w:t>
      </w:r>
      <w:r>
        <w:rPr>
          <w:lang w:bidi="ar-SA"/>
        </w:rPr>
        <w:t xml:space="preserve">Exercices </w:t>
      </w:r>
      <w:r w:rsidR="005A2764">
        <w:rPr>
          <w:lang w:bidi="ar-SA"/>
        </w:rPr>
        <w:t>/ M</w:t>
      </w:r>
      <w:r w:rsidR="005A2764">
        <w:t xml:space="preserve">ini-projets en entrepôt et Data </w:t>
      </w:r>
      <w:proofErr w:type="spellStart"/>
      <w:r w:rsidR="005A2764">
        <w:t>Mining</w:t>
      </w:r>
      <w:proofErr w:type="spellEnd"/>
      <w:r w:rsidR="005A2764">
        <w:t xml:space="preserve"> dans le domaine du CRM.</w:t>
      </w:r>
    </w:p>
    <w:p w:rsidR="005A2764" w:rsidRDefault="005A2764" w:rsidP="00E26E37">
      <w:pPr>
        <w:pBdr>
          <w:top w:val="single" w:sz="4" w:space="1" w:color="auto"/>
          <w:left w:val="single" w:sz="4" w:space="4" w:color="auto"/>
          <w:bottom w:val="single" w:sz="4" w:space="1" w:color="auto"/>
          <w:right w:val="single" w:sz="4" w:space="4" w:color="auto"/>
        </w:pBdr>
        <w:autoSpaceDE w:val="0"/>
        <w:autoSpaceDN w:val="0"/>
        <w:adjustRightInd w:val="0"/>
        <w:rPr>
          <w:lang w:bidi="ar-SA"/>
        </w:rPr>
      </w:pPr>
    </w:p>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0000FF"/>
          <w:lang w:bidi="ar-SA"/>
        </w:rPr>
      </w:pPr>
      <w:r>
        <w:rPr>
          <w:rFonts w:eastAsia="Rockwell"/>
          <w:b/>
          <w:bCs/>
          <w:color w:val="0000FF"/>
          <w:lang w:bidi="ar-SA"/>
        </w:rPr>
        <w:t>6- Examens et évaluation des connaissances</w:t>
      </w: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6.1- Méthode d’évaluation et régime d’examens </w:t>
      </w:r>
      <w:r>
        <w:rPr>
          <w:rFonts w:eastAsia="Rockwell"/>
          <w:color w:val="810000"/>
          <w:lang w:bidi="ar-SA"/>
        </w:rPr>
        <w:t>(Préciser le régime d’évaluation préconisé : contrôle continu uniquement ou, régime mixte c.à.d. contrôle continue et examens finaux)</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xml:space="preserve">- </w:t>
      </w:r>
      <w:r>
        <w:rPr>
          <w:lang w:bidi="ar-SA"/>
        </w:rPr>
        <w:t xml:space="preserve">Régime Mixte </w:t>
      </w: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6.2 - Validation de l’UE </w:t>
      </w:r>
      <w:r>
        <w:rPr>
          <w:rFonts w:eastAsia="Rockwell"/>
          <w:color w:val="810000"/>
          <w:lang w:bidi="ar-SA"/>
        </w:rPr>
        <w:t>(préciser les poids des épreuves d’examens pour le calcul de la moyenne de l’ECUE, les coefficients des ECUE et le coefficient de l’UE au sein du parcours).</w:t>
      </w:r>
    </w:p>
    <w:p w:rsidR="00E26E37" w:rsidRDefault="00E26E37" w:rsidP="00E26E37">
      <w:pPr>
        <w:autoSpaceDE w:val="0"/>
        <w:autoSpaceDN w:val="0"/>
        <w:adjustRightInd w:val="0"/>
        <w:rPr>
          <w:rFonts w:eastAsia="Rockwell"/>
          <w:color w:val="0000FF"/>
          <w:lang w:bidi="ar-SA"/>
        </w:rPr>
      </w:pPr>
    </w:p>
    <w:tbl>
      <w:tblPr>
        <w:tblW w:w="10594" w:type="dxa"/>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0"/>
        <w:gridCol w:w="656"/>
        <w:gridCol w:w="572"/>
        <w:gridCol w:w="656"/>
        <w:gridCol w:w="1376"/>
        <w:gridCol w:w="776"/>
        <w:gridCol w:w="572"/>
        <w:gridCol w:w="694"/>
        <w:gridCol w:w="1376"/>
        <w:gridCol w:w="861"/>
        <w:gridCol w:w="905"/>
      </w:tblGrid>
      <w:tr w:rsidR="00E26E37" w:rsidRPr="000A0628" w:rsidTr="00E26E37">
        <w:tc>
          <w:tcPr>
            <w:tcW w:w="2150" w:type="dxa"/>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ECE</w:t>
            </w:r>
          </w:p>
        </w:tc>
        <w:tc>
          <w:tcPr>
            <w:tcW w:w="3260" w:type="dxa"/>
            <w:gridSpan w:val="4"/>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Contrôle Continu  </w:t>
            </w:r>
          </w:p>
        </w:tc>
        <w:tc>
          <w:tcPr>
            <w:tcW w:w="3418" w:type="dxa"/>
            <w:gridSpan w:val="4"/>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Examen final </w:t>
            </w:r>
          </w:p>
        </w:tc>
        <w:tc>
          <w:tcPr>
            <w:tcW w:w="861"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l’ECUE</w:t>
            </w:r>
          </w:p>
        </w:tc>
        <w:tc>
          <w:tcPr>
            <w:tcW w:w="905"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l’UE au sein du parcours</w:t>
            </w:r>
          </w:p>
        </w:tc>
      </w:tr>
      <w:tr w:rsidR="00E26E37" w:rsidRPr="00404595" w:rsidTr="00E26E37">
        <w:tc>
          <w:tcPr>
            <w:tcW w:w="2150" w:type="dxa"/>
          </w:tcPr>
          <w:p w:rsidR="00E26E37" w:rsidRPr="00404595" w:rsidRDefault="00E26E37" w:rsidP="00CD0AE9">
            <w:pPr>
              <w:autoSpaceDE w:val="0"/>
              <w:autoSpaceDN w:val="0"/>
              <w:adjustRightInd w:val="0"/>
              <w:rPr>
                <w:rFonts w:eastAsia="Rockwell"/>
                <w:lang w:bidi="ar-SA"/>
              </w:rPr>
            </w:pPr>
          </w:p>
        </w:tc>
        <w:tc>
          <w:tcPr>
            <w:tcW w:w="1884" w:type="dxa"/>
            <w:gridSpan w:val="3"/>
            <w:tcBorders>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Pondération</w:t>
            </w:r>
          </w:p>
        </w:tc>
        <w:tc>
          <w:tcPr>
            <w:tcW w:w="2042" w:type="dxa"/>
            <w:gridSpan w:val="3"/>
            <w:tcBorders>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Pondération</w:t>
            </w:r>
          </w:p>
        </w:tc>
        <w:tc>
          <w:tcPr>
            <w:tcW w:w="861"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lang w:bidi="ar-SA"/>
              </w:rPr>
            </w:pPr>
          </w:p>
        </w:tc>
        <w:tc>
          <w:tcPr>
            <w:tcW w:w="905" w:type="dxa"/>
            <w:vMerge w:val="restart"/>
            <w:tcBorders>
              <w:left w:val="single" w:sz="4" w:space="0" w:color="auto"/>
            </w:tcBorders>
            <w:vAlign w:val="center"/>
          </w:tcPr>
          <w:p w:rsidR="00E26E37" w:rsidRPr="00404595" w:rsidRDefault="002F1217" w:rsidP="00CD0AE9">
            <w:pPr>
              <w:autoSpaceDE w:val="0"/>
              <w:autoSpaceDN w:val="0"/>
              <w:adjustRightInd w:val="0"/>
              <w:jc w:val="center"/>
              <w:rPr>
                <w:rFonts w:eastAsia="Rockwell"/>
                <w:lang w:bidi="ar-SA"/>
              </w:rPr>
            </w:pPr>
            <w:r>
              <w:rPr>
                <w:rFonts w:eastAsia="Rockwell"/>
                <w:lang w:bidi="ar-SA"/>
              </w:rPr>
              <w:t>8</w:t>
            </w:r>
          </w:p>
        </w:tc>
      </w:tr>
      <w:tr w:rsidR="00E26E37" w:rsidRPr="00404595" w:rsidTr="00E26E37">
        <w:tc>
          <w:tcPr>
            <w:tcW w:w="2150" w:type="dxa"/>
          </w:tcPr>
          <w:p w:rsidR="00E26E37" w:rsidRPr="00404595" w:rsidRDefault="00E26E37" w:rsidP="00CD0AE9">
            <w:pPr>
              <w:autoSpaceDE w:val="0"/>
              <w:autoSpaceDN w:val="0"/>
              <w:adjustRightInd w:val="0"/>
              <w:rPr>
                <w:rFonts w:eastAsia="Rockwell"/>
                <w:color w:val="0000FF"/>
                <w:lang w:bidi="ar-SA"/>
              </w:rPr>
            </w:pPr>
          </w:p>
        </w:tc>
        <w:tc>
          <w:tcPr>
            <w:tcW w:w="656"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Oral </w:t>
            </w:r>
          </w:p>
        </w:tc>
        <w:tc>
          <w:tcPr>
            <w:tcW w:w="65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TP et autre</w:t>
            </w:r>
          </w:p>
        </w:tc>
        <w:tc>
          <w:tcPr>
            <w:tcW w:w="1376"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
        </w:tc>
        <w:tc>
          <w:tcPr>
            <w:tcW w:w="776"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Oral</w:t>
            </w:r>
          </w:p>
        </w:tc>
        <w:tc>
          <w:tcPr>
            <w:tcW w:w="694"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Tp</w:t>
            </w:r>
            <w:proofErr w:type="spellEnd"/>
            <w:r w:rsidRPr="00404595">
              <w:rPr>
                <w:rFonts w:eastAsia="Rockwell"/>
                <w:sz w:val="20"/>
                <w:szCs w:val="20"/>
                <w:lang w:bidi="ar-SA"/>
              </w:rPr>
              <w:t xml:space="preserve"> et autres</w:t>
            </w:r>
          </w:p>
        </w:tc>
        <w:tc>
          <w:tcPr>
            <w:tcW w:w="137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color w:val="0000FF"/>
                <w:lang w:bidi="ar-SA"/>
              </w:rPr>
            </w:pPr>
          </w:p>
        </w:tc>
        <w:tc>
          <w:tcPr>
            <w:tcW w:w="861"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color w:val="0000FF"/>
                <w:lang w:bidi="ar-SA"/>
              </w:rPr>
            </w:pPr>
          </w:p>
        </w:tc>
        <w:tc>
          <w:tcPr>
            <w:tcW w:w="905" w:type="dxa"/>
            <w:vMerge/>
            <w:tcBorders>
              <w:left w:val="single" w:sz="4" w:space="0" w:color="auto"/>
            </w:tcBorders>
          </w:tcPr>
          <w:p w:rsidR="00E26E37" w:rsidRPr="00404595" w:rsidRDefault="00E26E37" w:rsidP="00CD0AE9">
            <w:pPr>
              <w:autoSpaceDE w:val="0"/>
              <w:autoSpaceDN w:val="0"/>
              <w:adjustRightInd w:val="0"/>
              <w:rPr>
                <w:rFonts w:eastAsia="Rockwell"/>
                <w:color w:val="0000FF"/>
                <w:lang w:bidi="ar-SA"/>
              </w:rPr>
            </w:pPr>
          </w:p>
        </w:tc>
      </w:tr>
      <w:tr w:rsidR="002F1217" w:rsidRPr="00404595" w:rsidTr="00C05351">
        <w:trPr>
          <w:trHeight w:val="835"/>
        </w:trPr>
        <w:tc>
          <w:tcPr>
            <w:tcW w:w="2150" w:type="dxa"/>
            <w:vAlign w:val="center"/>
          </w:tcPr>
          <w:p w:rsidR="002F1217" w:rsidRPr="008263CA" w:rsidRDefault="002F1217" w:rsidP="00CD0AE9">
            <w:pPr>
              <w:pStyle w:val="Contenudetableau"/>
              <w:snapToGrid w:val="0"/>
              <w:jc w:val="center"/>
              <w:rPr>
                <w:rFonts w:cs="Times New Roman"/>
                <w:sz w:val="18"/>
                <w:szCs w:val="18"/>
              </w:rPr>
            </w:pPr>
            <w:r w:rsidRPr="008263CA">
              <w:rPr>
                <w:rFonts w:cs="Times New Roman"/>
                <w:sz w:val="18"/>
                <w:szCs w:val="18"/>
              </w:rPr>
              <w:t>Bases de données avancées</w:t>
            </w:r>
          </w:p>
        </w:tc>
        <w:tc>
          <w:tcPr>
            <w:tcW w:w="656" w:type="dxa"/>
            <w:tcBorders>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p>
        </w:tc>
        <w:tc>
          <w:tcPr>
            <w:tcW w:w="694" w:type="dxa"/>
            <w:tcBorders>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r>
              <w:rPr>
                <w:rFonts w:eastAsia="Rockwell"/>
                <w:lang w:bidi="ar-SA"/>
              </w:rPr>
              <w:t>4</w:t>
            </w:r>
          </w:p>
        </w:tc>
        <w:tc>
          <w:tcPr>
            <w:tcW w:w="905" w:type="dxa"/>
            <w:vMerge/>
            <w:tcBorders>
              <w:left w:val="single" w:sz="4" w:space="0" w:color="auto"/>
            </w:tcBorders>
          </w:tcPr>
          <w:p w:rsidR="002F1217" w:rsidRPr="00404595" w:rsidRDefault="002F1217" w:rsidP="00CD0AE9">
            <w:pPr>
              <w:autoSpaceDE w:val="0"/>
              <w:autoSpaceDN w:val="0"/>
              <w:adjustRightInd w:val="0"/>
              <w:rPr>
                <w:rFonts w:eastAsia="Rockwell"/>
                <w:color w:val="0000FF"/>
                <w:lang w:bidi="ar-SA"/>
              </w:rPr>
            </w:pPr>
          </w:p>
        </w:tc>
      </w:tr>
      <w:tr w:rsidR="002F1217" w:rsidRPr="00404595" w:rsidTr="00C05351">
        <w:trPr>
          <w:trHeight w:val="835"/>
        </w:trPr>
        <w:tc>
          <w:tcPr>
            <w:tcW w:w="2150" w:type="dxa"/>
            <w:vAlign w:val="center"/>
          </w:tcPr>
          <w:p w:rsidR="002F1217" w:rsidRPr="008263CA" w:rsidRDefault="002F1217" w:rsidP="00CD0AE9">
            <w:pPr>
              <w:pStyle w:val="Contenudetableau"/>
              <w:snapToGrid w:val="0"/>
              <w:jc w:val="center"/>
              <w:rPr>
                <w:rFonts w:cs="Times New Roman"/>
                <w:sz w:val="18"/>
                <w:szCs w:val="18"/>
              </w:rPr>
            </w:pPr>
            <w:proofErr w:type="spellStart"/>
            <w:r w:rsidRPr="008263CA">
              <w:rPr>
                <w:rFonts w:cs="Times New Roman"/>
                <w:sz w:val="18"/>
                <w:szCs w:val="18"/>
              </w:rPr>
              <w:t>Datawarehouse</w:t>
            </w:r>
            <w:proofErr w:type="spellEnd"/>
            <w:r w:rsidRPr="008263CA">
              <w:rPr>
                <w:rFonts w:cs="Times New Roman"/>
                <w:sz w:val="18"/>
                <w:szCs w:val="18"/>
              </w:rPr>
              <w:t xml:space="preserve">, </w:t>
            </w:r>
            <w:proofErr w:type="spellStart"/>
            <w:r w:rsidRPr="008263CA">
              <w:rPr>
                <w:rFonts w:cs="Times New Roman"/>
                <w:sz w:val="18"/>
                <w:szCs w:val="18"/>
              </w:rPr>
              <w:t>dataming</w:t>
            </w:r>
            <w:proofErr w:type="spellEnd"/>
          </w:p>
        </w:tc>
        <w:tc>
          <w:tcPr>
            <w:tcW w:w="656" w:type="dxa"/>
            <w:tcBorders>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p>
        </w:tc>
        <w:tc>
          <w:tcPr>
            <w:tcW w:w="694" w:type="dxa"/>
            <w:tcBorders>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2F1217" w:rsidRPr="00511E67" w:rsidRDefault="002F1217" w:rsidP="00CD0AE9">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2F1217" w:rsidRPr="00511E67" w:rsidRDefault="002F1217" w:rsidP="002F1217">
            <w:pPr>
              <w:autoSpaceDE w:val="0"/>
              <w:autoSpaceDN w:val="0"/>
              <w:adjustRightInd w:val="0"/>
              <w:jc w:val="center"/>
              <w:rPr>
                <w:rFonts w:eastAsia="Rockwell"/>
                <w:lang w:bidi="ar-SA"/>
              </w:rPr>
            </w:pPr>
            <w:r>
              <w:rPr>
                <w:rFonts w:eastAsia="Rockwell"/>
                <w:lang w:bidi="ar-SA"/>
              </w:rPr>
              <w:t>4</w:t>
            </w:r>
          </w:p>
        </w:tc>
        <w:tc>
          <w:tcPr>
            <w:tcW w:w="905" w:type="dxa"/>
            <w:vMerge/>
            <w:tcBorders>
              <w:left w:val="single" w:sz="4" w:space="0" w:color="auto"/>
            </w:tcBorders>
          </w:tcPr>
          <w:p w:rsidR="002F1217" w:rsidRPr="00404595" w:rsidRDefault="002F1217" w:rsidP="00CD0AE9">
            <w:pPr>
              <w:autoSpaceDE w:val="0"/>
              <w:autoSpaceDN w:val="0"/>
              <w:adjustRightInd w:val="0"/>
              <w:rPr>
                <w:rFonts w:eastAsia="Rockwell"/>
                <w:color w:val="0000FF"/>
                <w:lang w:bidi="ar-SA"/>
              </w:rPr>
            </w:pPr>
          </w:p>
        </w:tc>
      </w:tr>
    </w:tbl>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6.3 - Validation des stages et des projets…..</w:t>
      </w:r>
    </w:p>
    <w:p w:rsidR="00E26E37" w:rsidRPr="00803DE9" w:rsidRDefault="00E26E37" w:rsidP="005A2764">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xml:space="preserve">- </w:t>
      </w:r>
      <w:r w:rsidR="005A2764">
        <w:rPr>
          <w:lang w:bidi="ar-SA"/>
        </w:rPr>
        <w:t>Exposés par groupe</w:t>
      </w:r>
    </w:p>
    <w:p w:rsidR="00E26E37" w:rsidRPr="00803DE9" w:rsidRDefault="00E26E37" w:rsidP="005A2764">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 xml:space="preserve">2- </w:t>
      </w:r>
      <w:r w:rsidR="005A2764">
        <w:rPr>
          <w:lang w:bidi="ar-SA"/>
        </w:rPr>
        <w:t>Validation des projets</w:t>
      </w:r>
    </w:p>
    <w:p w:rsidR="00E26E37" w:rsidRDefault="00E26E37" w:rsidP="00E26E37">
      <w:pPr>
        <w:autoSpaceDE w:val="0"/>
        <w:autoSpaceDN w:val="0"/>
        <w:adjustRightInd w:val="0"/>
        <w:rPr>
          <w:rFonts w:eastAsia="Rockwell"/>
          <w:color w:val="0000FF"/>
          <w:lang w:bidi="ar-SA"/>
        </w:rPr>
      </w:pPr>
    </w:p>
    <w:p w:rsidR="00E26E37" w:rsidRDefault="00E26E37" w:rsidP="00E26E37">
      <w:pPr>
        <w:spacing w:line="252" w:lineRule="auto"/>
        <w:rPr>
          <w:rFonts w:eastAsia="Rockwell"/>
          <w:color w:val="0000FF"/>
          <w:lang w:bidi="ar-SA"/>
        </w:rPr>
      </w:pPr>
      <w:r>
        <w:rPr>
          <w:rFonts w:eastAsia="Rockwell"/>
          <w:color w:val="0000FF"/>
          <w:lang w:bidi="ar-SA"/>
        </w:rPr>
        <w:br w:type="page"/>
      </w:r>
    </w:p>
    <w:p w:rsidR="0023183B" w:rsidRDefault="0023183B" w:rsidP="0023183B">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Pr>
          <w:b/>
          <w:bCs/>
          <w:color w:val="0000FF"/>
        </w:rPr>
        <w:lastRenderedPageBreak/>
        <w:t>Unité d’Enseignement</w:t>
      </w:r>
      <w:r>
        <w:rPr>
          <w:rFonts w:hint="cs"/>
          <w:b/>
          <w:bCs/>
          <w:color w:val="0000FF"/>
          <w:rtl/>
        </w:rPr>
        <w:t xml:space="preserve"> </w:t>
      </w:r>
      <w:r w:rsidRPr="002F1217">
        <w:rPr>
          <w:b/>
          <w:bCs/>
          <w:color w:val="0000FF"/>
          <w:sz w:val="28"/>
          <w:szCs w:val="28"/>
          <w:lang w:bidi="ar-SA"/>
        </w:rPr>
        <w:t>SGBD (Système de gestion de base de données)</w:t>
      </w:r>
    </w:p>
    <w:p w:rsidR="0023183B" w:rsidRDefault="0023183B" w:rsidP="0023183B">
      <w:pPr>
        <w:jc w:val="center"/>
        <w:rPr>
          <w:b/>
          <w:bCs/>
          <w:color w:val="0000FF"/>
        </w:rPr>
      </w:pPr>
      <w:r>
        <w:rPr>
          <w:rFonts w:hint="cs"/>
          <w:b/>
          <w:bCs/>
          <w:color w:val="0000FF"/>
          <w:rtl/>
        </w:rPr>
        <w:t xml:space="preserve"> </w:t>
      </w: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2"/>
      </w:tblGrid>
      <w:tr w:rsidR="0023183B" w:rsidTr="00CD0AE9">
        <w:trPr>
          <w:cantSplit/>
          <w:jc w:val="center"/>
        </w:trPr>
        <w:tc>
          <w:tcPr>
            <w:tcW w:w="2826" w:type="dxa"/>
            <w:tcBorders>
              <w:top w:val="single" w:sz="4" w:space="0" w:color="auto"/>
              <w:left w:val="single" w:sz="4" w:space="0" w:color="auto"/>
              <w:bottom w:val="single" w:sz="4" w:space="0" w:color="auto"/>
              <w:right w:val="single" w:sz="4" w:space="0" w:color="auto"/>
            </w:tcBorders>
          </w:tcPr>
          <w:p w:rsidR="0023183B" w:rsidRDefault="0023183B" w:rsidP="0023183B">
            <w:pPr>
              <w:pStyle w:val="2"/>
              <w:bidi w:val="0"/>
              <w:rPr>
                <w:rFonts w:cs="Times New Roman"/>
                <w:color w:val="800000"/>
                <w:sz w:val="22"/>
                <w:szCs w:val="22"/>
              </w:rPr>
            </w:pPr>
            <w:bookmarkStart w:id="0" w:name="_Toc190138139"/>
            <w:r>
              <w:rPr>
                <w:rFonts w:cs="Times New Roman"/>
                <w:color w:val="800000"/>
                <w:sz w:val="22"/>
                <w:szCs w:val="22"/>
                <w:lang w:bidi="ar-MA"/>
              </w:rPr>
              <w:t xml:space="preserve">Code UE : </w:t>
            </w:r>
            <w:bookmarkEnd w:id="0"/>
            <w:r>
              <w:rPr>
                <w:rFonts w:cs="Times New Roman"/>
                <w:color w:val="800000"/>
                <w:sz w:val="22"/>
                <w:szCs w:val="22"/>
                <w:lang w:bidi="ar-MA"/>
              </w:rPr>
              <w:t>UE22</w:t>
            </w:r>
          </w:p>
        </w:tc>
      </w:tr>
    </w:tbl>
    <w:p w:rsidR="0023183B" w:rsidRDefault="0023183B" w:rsidP="0023183B">
      <w:pPr>
        <w:jc w:val="center"/>
        <w:rPr>
          <w:b/>
          <w:bCs/>
          <w:color w:val="0000FF"/>
          <w:sz w:val="32"/>
          <w:szCs w:val="32"/>
        </w:rPr>
      </w:pPr>
    </w:p>
    <w:p w:rsidR="0023183B" w:rsidRDefault="0023183B" w:rsidP="0023183B">
      <w:pPr>
        <w:jc w:val="center"/>
        <w:rPr>
          <w:b/>
          <w:bCs/>
          <w:color w:val="0000FF"/>
          <w:sz w:val="32"/>
          <w:szCs w:val="32"/>
        </w:rPr>
      </w:pPr>
      <w:r>
        <w:rPr>
          <w:b/>
          <w:bCs/>
          <w:color w:val="0000FF"/>
          <w:sz w:val="32"/>
          <w:szCs w:val="32"/>
        </w:rPr>
        <w:t>ECUE n° 1 ……Bases de données avancées…</w:t>
      </w:r>
    </w:p>
    <w:p w:rsidR="0023183B" w:rsidRDefault="0023183B" w:rsidP="0023183B">
      <w:pPr>
        <w:pStyle w:val="Lgende"/>
      </w:pPr>
    </w:p>
    <w:p w:rsidR="0023183B" w:rsidRDefault="0023183B" w:rsidP="0023183B">
      <w:pPr>
        <w:rPr>
          <w:b/>
          <w:bCs/>
        </w:rPr>
      </w:pPr>
    </w:p>
    <w:tbl>
      <w:tblPr>
        <w:tblStyle w:val="Grilledutablea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3183B" w:rsidRPr="00465161" w:rsidTr="00CD0AE9">
        <w:tc>
          <w:tcPr>
            <w:tcW w:w="9464" w:type="dxa"/>
          </w:tcPr>
          <w:p w:rsidR="0023183B" w:rsidRDefault="0023183B" w:rsidP="00CD0AE9">
            <w:pPr>
              <w:rPr>
                <w:b/>
                <w:bCs/>
              </w:rPr>
            </w:pPr>
          </w:p>
          <w:p w:rsidR="0023183B" w:rsidRDefault="0023183B" w:rsidP="00CD0AE9">
            <w:r w:rsidRPr="003459C8">
              <w:rPr>
                <w:b/>
                <w:bCs/>
                <w:u w:val="single"/>
              </w:rPr>
              <w:t>Objectifs de l’ECUE</w:t>
            </w:r>
            <w:r>
              <w:t xml:space="preserve"> </w:t>
            </w:r>
          </w:p>
          <w:p w:rsidR="0023183B" w:rsidRDefault="0023183B" w:rsidP="00CD0AE9">
            <w:pPr>
              <w:widowControl w:val="0"/>
              <w:autoSpaceDE w:val="0"/>
              <w:autoSpaceDN w:val="0"/>
              <w:adjustRightInd w:val="0"/>
              <w:jc w:val="both"/>
              <w:textAlignment w:val="baseline"/>
              <w:rPr>
                <w:sz w:val="24"/>
                <w:szCs w:val="24"/>
              </w:rPr>
            </w:pPr>
          </w:p>
          <w:p w:rsidR="0023183B" w:rsidRPr="00EF1C38" w:rsidRDefault="0023183B" w:rsidP="00CD0AE9">
            <w:pPr>
              <w:widowControl w:val="0"/>
              <w:autoSpaceDE w:val="0"/>
              <w:autoSpaceDN w:val="0"/>
              <w:adjustRightInd w:val="0"/>
              <w:jc w:val="both"/>
              <w:textAlignment w:val="baseline"/>
              <w:rPr>
                <w:sz w:val="24"/>
                <w:szCs w:val="24"/>
              </w:rPr>
            </w:pPr>
            <w:r>
              <w:rPr>
                <w:sz w:val="24"/>
                <w:szCs w:val="24"/>
              </w:rPr>
              <w:t xml:space="preserve">L’objectif de ce cours est de comprendre la motivation des bases de données (vs les SGF), de dresser un aperçu sur l’historique des </w:t>
            </w:r>
            <w:proofErr w:type="spellStart"/>
            <w:r>
              <w:rPr>
                <w:sz w:val="24"/>
                <w:szCs w:val="24"/>
              </w:rPr>
              <w:t>BDs</w:t>
            </w:r>
            <w:proofErr w:type="spellEnd"/>
            <w:r>
              <w:rPr>
                <w:sz w:val="24"/>
                <w:szCs w:val="24"/>
              </w:rPr>
              <w:t xml:space="preserve">, de concevoir, manipuler et normaliser une BD. L’objectif aussi est de maitriser le modèle relationnel à travers le langage algébrique relationnel ainsi que le langage SQL. </w:t>
            </w:r>
          </w:p>
          <w:p w:rsidR="0023183B" w:rsidRPr="00465161" w:rsidRDefault="0023183B" w:rsidP="00CD0AE9">
            <w:pPr>
              <w:spacing w:before="120" w:after="120"/>
              <w:jc w:val="both"/>
              <w:rPr>
                <w:sz w:val="24"/>
                <w:szCs w:val="24"/>
              </w:rPr>
            </w:pPr>
          </w:p>
        </w:tc>
      </w:tr>
      <w:tr w:rsidR="0023183B" w:rsidRPr="0039590F" w:rsidTr="00CD0AE9">
        <w:tc>
          <w:tcPr>
            <w:tcW w:w="9464" w:type="dxa"/>
          </w:tcPr>
          <w:p w:rsidR="0023183B" w:rsidRPr="0039590F" w:rsidRDefault="0023183B" w:rsidP="00CD0AE9">
            <w:pPr>
              <w:jc w:val="both"/>
              <w:rPr>
                <w:sz w:val="24"/>
                <w:szCs w:val="24"/>
              </w:rPr>
            </w:pPr>
            <w:r w:rsidRPr="0039590F">
              <w:rPr>
                <w:b/>
                <w:sz w:val="24"/>
                <w:szCs w:val="24"/>
              </w:rPr>
              <w:t>Pré-requis</w:t>
            </w:r>
          </w:p>
        </w:tc>
      </w:tr>
      <w:tr w:rsidR="0023183B" w:rsidRPr="001D3277" w:rsidTr="00CD0AE9">
        <w:tc>
          <w:tcPr>
            <w:tcW w:w="9464" w:type="dxa"/>
          </w:tcPr>
          <w:p w:rsidR="0023183B" w:rsidRPr="001D3277" w:rsidRDefault="0023183B" w:rsidP="00CD0AE9">
            <w:pPr>
              <w:jc w:val="both"/>
              <w:rPr>
                <w:sz w:val="24"/>
                <w:szCs w:val="24"/>
              </w:rPr>
            </w:pPr>
            <w:r>
              <w:t xml:space="preserve">Conception des Systèmes d’Information </w:t>
            </w:r>
          </w:p>
        </w:tc>
      </w:tr>
      <w:tr w:rsidR="0023183B" w:rsidRPr="0039590F" w:rsidTr="00CD0AE9">
        <w:tc>
          <w:tcPr>
            <w:tcW w:w="9464" w:type="dxa"/>
          </w:tcPr>
          <w:p w:rsidR="0023183B" w:rsidRPr="0039590F" w:rsidRDefault="0023183B" w:rsidP="00CD0AE9">
            <w:pPr>
              <w:jc w:val="both"/>
              <w:rPr>
                <w:sz w:val="24"/>
                <w:szCs w:val="24"/>
              </w:rPr>
            </w:pPr>
            <w:r w:rsidRPr="0039590F">
              <w:rPr>
                <w:b/>
                <w:sz w:val="24"/>
                <w:szCs w:val="24"/>
              </w:rPr>
              <w:t>Eléments du contenu</w:t>
            </w:r>
            <w:r>
              <w:rPr>
                <w:b/>
                <w:sz w:val="24"/>
                <w:szCs w:val="24"/>
              </w:rPr>
              <w:t xml:space="preserve"> </w:t>
            </w:r>
          </w:p>
        </w:tc>
      </w:tr>
      <w:tr w:rsidR="0023183B" w:rsidRPr="00A30975" w:rsidTr="00CD0AE9">
        <w:tc>
          <w:tcPr>
            <w:tcW w:w="9464" w:type="dxa"/>
          </w:tcPr>
          <w:p w:rsidR="0023183B" w:rsidRDefault="0023183B" w:rsidP="00CD0AE9">
            <w:pPr>
              <w:ind w:left="360"/>
            </w:pPr>
            <w:r w:rsidRPr="00025618">
              <w:rPr>
                <w:b/>
                <w:bCs/>
              </w:rPr>
              <w:t>Chapitre 1</w:t>
            </w:r>
            <w:r>
              <w:t xml:space="preserve"> – </w:t>
            </w:r>
            <w:r w:rsidRPr="00A30975">
              <w:rPr>
                <w:b/>
                <w:bCs/>
              </w:rPr>
              <w:t>Introduction</w:t>
            </w:r>
          </w:p>
          <w:p w:rsidR="0023183B" w:rsidRDefault="0023183B" w:rsidP="0023183B">
            <w:pPr>
              <w:pStyle w:val="Paragraphedeliste"/>
              <w:numPr>
                <w:ilvl w:val="1"/>
                <w:numId w:val="5"/>
              </w:numPr>
            </w:pPr>
            <w:proofErr w:type="gramStart"/>
            <w:r w:rsidRPr="00025618">
              <w:t>Limites</w:t>
            </w:r>
            <w:proofErr w:type="gramEnd"/>
            <w:r w:rsidRPr="00025618">
              <w:t xml:space="preserve"> des SGF</w:t>
            </w:r>
          </w:p>
          <w:p w:rsidR="0023183B" w:rsidRDefault="0023183B" w:rsidP="0023183B">
            <w:pPr>
              <w:pStyle w:val="Paragraphedeliste"/>
              <w:numPr>
                <w:ilvl w:val="1"/>
                <w:numId w:val="5"/>
              </w:numPr>
            </w:pPr>
            <w:r>
              <w:t>Définition d’une Base de Données et d’un SGBD</w:t>
            </w:r>
          </w:p>
          <w:p w:rsidR="0023183B" w:rsidRDefault="0023183B" w:rsidP="0023183B">
            <w:pPr>
              <w:pStyle w:val="Paragraphedeliste"/>
              <w:numPr>
                <w:ilvl w:val="1"/>
                <w:numId w:val="5"/>
              </w:numPr>
            </w:pPr>
            <w:r>
              <w:t>Fonctions d’un SGBD</w:t>
            </w:r>
          </w:p>
          <w:p w:rsidR="0023183B" w:rsidRDefault="0023183B" w:rsidP="0023183B">
            <w:pPr>
              <w:pStyle w:val="Paragraphedeliste"/>
              <w:numPr>
                <w:ilvl w:val="1"/>
                <w:numId w:val="5"/>
              </w:numPr>
            </w:pPr>
            <w:r>
              <w:t>Niveaux de description des données</w:t>
            </w:r>
          </w:p>
          <w:p w:rsidR="0023183B" w:rsidRDefault="0023183B" w:rsidP="0023183B">
            <w:pPr>
              <w:pStyle w:val="Paragraphedeliste"/>
              <w:numPr>
                <w:ilvl w:val="1"/>
                <w:numId w:val="5"/>
              </w:numPr>
            </w:pPr>
            <w:r>
              <w:t>Les types d’utilisateurs</w:t>
            </w:r>
          </w:p>
          <w:p w:rsidR="0023183B" w:rsidRPr="00025618" w:rsidRDefault="0023183B" w:rsidP="0023183B">
            <w:pPr>
              <w:pStyle w:val="Paragraphedeliste"/>
              <w:numPr>
                <w:ilvl w:val="1"/>
                <w:numId w:val="5"/>
              </w:numPr>
            </w:pPr>
            <w:r>
              <w:t xml:space="preserve">Évolution des </w:t>
            </w:r>
            <w:proofErr w:type="spellStart"/>
            <w:r>
              <w:t>BDs</w:t>
            </w:r>
            <w:proofErr w:type="spellEnd"/>
          </w:p>
          <w:p w:rsidR="0023183B" w:rsidRDefault="0023183B" w:rsidP="00CD0AE9">
            <w:pPr>
              <w:ind w:left="360"/>
            </w:pPr>
            <w:r w:rsidRPr="00025618">
              <w:rPr>
                <w:b/>
                <w:bCs/>
              </w:rPr>
              <w:t>Chapitre 2</w:t>
            </w:r>
            <w:r>
              <w:t xml:space="preserve"> </w:t>
            </w:r>
            <w:r w:rsidRPr="00A30975">
              <w:rPr>
                <w:b/>
                <w:bCs/>
              </w:rPr>
              <w:t>- Le modèle entité-association</w:t>
            </w:r>
          </w:p>
          <w:p w:rsidR="0023183B" w:rsidRDefault="0023183B" w:rsidP="0023183B">
            <w:pPr>
              <w:pStyle w:val="Paragraphedeliste"/>
              <w:numPr>
                <w:ilvl w:val="1"/>
                <w:numId w:val="5"/>
              </w:numPr>
            </w:pPr>
            <w:r>
              <w:t>Introduction au modèle</w:t>
            </w:r>
          </w:p>
          <w:p w:rsidR="0023183B" w:rsidRDefault="0023183B" w:rsidP="0023183B">
            <w:pPr>
              <w:pStyle w:val="Paragraphedeliste"/>
              <w:numPr>
                <w:ilvl w:val="1"/>
                <w:numId w:val="5"/>
              </w:numPr>
            </w:pPr>
            <w:r>
              <w:t>Présentation du modèle</w:t>
            </w:r>
          </w:p>
          <w:p w:rsidR="0023183B" w:rsidRDefault="0023183B" w:rsidP="0023183B">
            <w:pPr>
              <w:pStyle w:val="Paragraphedeliste"/>
              <w:numPr>
                <w:ilvl w:val="1"/>
                <w:numId w:val="5"/>
              </w:numPr>
            </w:pPr>
            <w:r>
              <w:t>La notion de dépendance</w:t>
            </w:r>
          </w:p>
          <w:p w:rsidR="0023183B" w:rsidRPr="00A30975" w:rsidRDefault="0023183B" w:rsidP="00CD0AE9">
            <w:pPr>
              <w:ind w:firstLine="360"/>
              <w:rPr>
                <w:b/>
                <w:bCs/>
              </w:rPr>
            </w:pPr>
            <w:r w:rsidRPr="00025618">
              <w:rPr>
                <w:b/>
                <w:bCs/>
              </w:rPr>
              <w:t>Chapitre 3</w:t>
            </w:r>
            <w:r>
              <w:t xml:space="preserve"> </w:t>
            </w:r>
            <w:r w:rsidRPr="00A30975">
              <w:rPr>
                <w:b/>
                <w:bCs/>
              </w:rPr>
              <w:t>- Le modèle relationnel</w:t>
            </w:r>
          </w:p>
          <w:p w:rsidR="0023183B" w:rsidRDefault="0023183B" w:rsidP="0023183B">
            <w:pPr>
              <w:pStyle w:val="Paragraphedeliste"/>
              <w:numPr>
                <w:ilvl w:val="1"/>
                <w:numId w:val="5"/>
              </w:numPr>
            </w:pPr>
            <w:r>
              <w:t>Les notions de base</w:t>
            </w:r>
          </w:p>
          <w:p w:rsidR="0023183B" w:rsidRDefault="0023183B" w:rsidP="0023183B">
            <w:pPr>
              <w:pStyle w:val="Paragraphedeliste"/>
              <w:numPr>
                <w:ilvl w:val="1"/>
                <w:numId w:val="5"/>
              </w:numPr>
            </w:pPr>
            <w:r>
              <w:t>Les contraintes d’intégrité</w:t>
            </w:r>
          </w:p>
          <w:p w:rsidR="0023183B" w:rsidRDefault="0023183B" w:rsidP="0023183B">
            <w:pPr>
              <w:pStyle w:val="Paragraphedeliste"/>
              <w:numPr>
                <w:ilvl w:val="1"/>
                <w:numId w:val="5"/>
              </w:numPr>
            </w:pPr>
            <w:r>
              <w:t>L’algèbre relationnelle</w:t>
            </w:r>
          </w:p>
          <w:p w:rsidR="0023183B" w:rsidRDefault="0023183B" w:rsidP="0023183B">
            <w:pPr>
              <w:pStyle w:val="Paragraphedeliste"/>
              <w:numPr>
                <w:ilvl w:val="1"/>
                <w:numId w:val="5"/>
              </w:numPr>
            </w:pPr>
            <w:r>
              <w:t>Les opérateurs ensemblistes</w:t>
            </w:r>
          </w:p>
          <w:p w:rsidR="0023183B" w:rsidRDefault="0023183B" w:rsidP="00CD0AE9">
            <w:pPr>
              <w:ind w:firstLine="360"/>
            </w:pPr>
            <w:r w:rsidRPr="00025618">
              <w:rPr>
                <w:b/>
                <w:bCs/>
              </w:rPr>
              <w:t>Chapitre 4</w:t>
            </w:r>
            <w:r>
              <w:t xml:space="preserve"> - </w:t>
            </w:r>
            <w:r w:rsidRPr="00A30975">
              <w:rPr>
                <w:b/>
                <w:bCs/>
              </w:rPr>
              <w:t>La normalisation</w:t>
            </w:r>
          </w:p>
          <w:p w:rsidR="0023183B" w:rsidRDefault="0023183B" w:rsidP="0023183B">
            <w:pPr>
              <w:pStyle w:val="Paragraphedeliste"/>
              <w:numPr>
                <w:ilvl w:val="1"/>
                <w:numId w:val="5"/>
              </w:numPr>
            </w:pPr>
            <w:r>
              <w:t>Les dépendances fonctionnelles</w:t>
            </w:r>
          </w:p>
          <w:p w:rsidR="0023183B" w:rsidRDefault="0023183B" w:rsidP="0023183B">
            <w:pPr>
              <w:pStyle w:val="Paragraphedeliste"/>
              <w:numPr>
                <w:ilvl w:val="1"/>
                <w:numId w:val="5"/>
              </w:numPr>
            </w:pPr>
            <w:r>
              <w:t>Les formes normales</w:t>
            </w:r>
          </w:p>
          <w:p w:rsidR="0023183B" w:rsidRDefault="0023183B" w:rsidP="0023183B">
            <w:pPr>
              <w:pStyle w:val="Paragraphedeliste"/>
              <w:numPr>
                <w:ilvl w:val="1"/>
                <w:numId w:val="5"/>
              </w:numPr>
            </w:pPr>
            <w:r>
              <w:t>Les méthodes de décomposition</w:t>
            </w:r>
          </w:p>
          <w:p w:rsidR="0023183B" w:rsidRDefault="0023183B" w:rsidP="00CD0AE9">
            <w:pPr>
              <w:ind w:firstLine="360"/>
            </w:pPr>
            <w:r w:rsidRPr="00025618">
              <w:rPr>
                <w:b/>
                <w:bCs/>
              </w:rPr>
              <w:t>Chapitre 5</w:t>
            </w:r>
            <w:r>
              <w:t xml:space="preserve"> </w:t>
            </w:r>
            <w:r w:rsidRPr="00A30975">
              <w:rPr>
                <w:b/>
                <w:bCs/>
              </w:rPr>
              <w:t>- Le langage SQL</w:t>
            </w:r>
          </w:p>
          <w:p w:rsidR="0023183B" w:rsidRDefault="0023183B" w:rsidP="0023183B">
            <w:pPr>
              <w:pStyle w:val="Paragraphedeliste"/>
              <w:numPr>
                <w:ilvl w:val="1"/>
                <w:numId w:val="5"/>
              </w:numPr>
            </w:pPr>
            <w:r>
              <w:t>La sélection simple</w:t>
            </w:r>
          </w:p>
          <w:p w:rsidR="0023183B" w:rsidRDefault="0023183B" w:rsidP="0023183B">
            <w:pPr>
              <w:pStyle w:val="Paragraphedeliste"/>
              <w:numPr>
                <w:ilvl w:val="1"/>
                <w:numId w:val="5"/>
              </w:numPr>
            </w:pPr>
            <w:r>
              <w:t>Les fonctions, et le regroupement</w:t>
            </w:r>
          </w:p>
          <w:p w:rsidR="0023183B" w:rsidRDefault="0023183B" w:rsidP="0023183B">
            <w:pPr>
              <w:pStyle w:val="Paragraphedeliste"/>
              <w:numPr>
                <w:ilvl w:val="1"/>
                <w:numId w:val="5"/>
              </w:numPr>
            </w:pPr>
            <w:r>
              <w:t>Extraction à partir de plusieurs tables</w:t>
            </w:r>
          </w:p>
          <w:p w:rsidR="0023183B" w:rsidRDefault="0023183B" w:rsidP="0023183B">
            <w:pPr>
              <w:pStyle w:val="Paragraphedeliste"/>
              <w:numPr>
                <w:ilvl w:val="1"/>
                <w:numId w:val="5"/>
              </w:numPr>
            </w:pPr>
            <w:r>
              <w:t>Les opérateurs ensemblistes</w:t>
            </w:r>
          </w:p>
          <w:p w:rsidR="0023183B" w:rsidRDefault="0023183B" w:rsidP="0023183B">
            <w:pPr>
              <w:pStyle w:val="Paragraphedeliste"/>
              <w:numPr>
                <w:ilvl w:val="1"/>
                <w:numId w:val="5"/>
              </w:numPr>
            </w:pPr>
            <w:r>
              <w:t>Les sous-requêtes</w:t>
            </w:r>
          </w:p>
          <w:p w:rsidR="0023183B" w:rsidRDefault="0023183B" w:rsidP="0023183B">
            <w:pPr>
              <w:pStyle w:val="Paragraphedeliste"/>
              <w:numPr>
                <w:ilvl w:val="1"/>
                <w:numId w:val="5"/>
              </w:numPr>
            </w:pPr>
            <w:r>
              <w:lastRenderedPageBreak/>
              <w:t>Le LDD</w:t>
            </w:r>
          </w:p>
          <w:p w:rsidR="0023183B" w:rsidRPr="00A30975" w:rsidRDefault="0023183B" w:rsidP="0023183B">
            <w:pPr>
              <w:pStyle w:val="Paragraphedeliste"/>
              <w:numPr>
                <w:ilvl w:val="1"/>
                <w:numId w:val="5"/>
              </w:numPr>
            </w:pPr>
            <w:r>
              <w:t>Le LMD</w:t>
            </w:r>
          </w:p>
        </w:tc>
      </w:tr>
    </w:tbl>
    <w:p w:rsidR="0023183B" w:rsidRDefault="0023183B" w:rsidP="0023183B">
      <w:pPr>
        <w:rPr>
          <w:b/>
          <w:bCs/>
        </w:rPr>
      </w:pPr>
    </w:p>
    <w:p w:rsidR="00E26E37" w:rsidRDefault="00E26E37" w:rsidP="00E26E37">
      <w:pPr>
        <w:autoSpaceDE w:val="0"/>
        <w:autoSpaceDN w:val="0"/>
        <w:adjustRightInd w:val="0"/>
        <w:jc w:val="both"/>
        <w:rPr>
          <w:b/>
          <w:bCs/>
          <w:color w:val="000000"/>
          <w:sz w:val="28"/>
          <w:szCs w:val="28"/>
          <w:lang w:bidi="ar-SA"/>
        </w:rPr>
      </w:pPr>
    </w:p>
    <w:p w:rsidR="00E26E37" w:rsidRPr="007A79C1" w:rsidRDefault="00E26E37" w:rsidP="00E26E37">
      <w:pPr>
        <w:autoSpaceDE w:val="0"/>
        <w:autoSpaceDN w:val="0"/>
        <w:adjustRightInd w:val="0"/>
        <w:jc w:val="both"/>
        <w:rPr>
          <w:b/>
          <w:bCs/>
          <w:color w:val="000000"/>
          <w:sz w:val="28"/>
          <w:szCs w:val="28"/>
          <w:lang w:bidi="ar-SA"/>
        </w:rPr>
      </w:pPr>
      <w:r w:rsidRPr="007A79C1">
        <w:rPr>
          <w:b/>
          <w:bCs/>
          <w:color w:val="000000"/>
          <w:sz w:val="28"/>
          <w:szCs w:val="28"/>
          <w:lang w:bidi="ar-SA"/>
        </w:rPr>
        <w:br w:type="page"/>
      </w:r>
    </w:p>
    <w:p w:rsidR="0023183B" w:rsidRDefault="0023183B" w:rsidP="0023183B">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Pr>
          <w:b/>
          <w:bCs/>
          <w:color w:val="0000FF"/>
        </w:rPr>
        <w:lastRenderedPageBreak/>
        <w:t>Unité d’Enseignement</w:t>
      </w:r>
      <w:r>
        <w:rPr>
          <w:rFonts w:hint="cs"/>
          <w:b/>
          <w:bCs/>
          <w:color w:val="0000FF"/>
          <w:rtl/>
        </w:rPr>
        <w:t xml:space="preserve"> </w:t>
      </w:r>
      <w:r w:rsidRPr="002F1217">
        <w:rPr>
          <w:b/>
          <w:bCs/>
          <w:color w:val="0000FF"/>
          <w:sz w:val="28"/>
          <w:szCs w:val="28"/>
          <w:lang w:bidi="ar-SA"/>
        </w:rPr>
        <w:t>SGBD (Système de gestion de base de données)</w:t>
      </w:r>
    </w:p>
    <w:p w:rsidR="0023183B" w:rsidRDefault="0023183B" w:rsidP="0023183B">
      <w:pPr>
        <w:jc w:val="center"/>
        <w:rPr>
          <w:b/>
          <w:bCs/>
          <w:color w:val="0000FF"/>
        </w:rPr>
      </w:pPr>
      <w:r>
        <w:rPr>
          <w:rFonts w:hint="cs"/>
          <w:b/>
          <w:bCs/>
          <w:color w:val="0000FF"/>
          <w:rtl/>
        </w:rPr>
        <w:t xml:space="preserve"> </w:t>
      </w: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2"/>
      </w:tblGrid>
      <w:tr w:rsidR="0023183B" w:rsidTr="00CD0AE9">
        <w:trPr>
          <w:cantSplit/>
          <w:jc w:val="center"/>
        </w:trPr>
        <w:tc>
          <w:tcPr>
            <w:tcW w:w="2826" w:type="dxa"/>
            <w:tcBorders>
              <w:top w:val="single" w:sz="4" w:space="0" w:color="auto"/>
              <w:left w:val="single" w:sz="4" w:space="0" w:color="auto"/>
              <w:bottom w:val="single" w:sz="4" w:space="0" w:color="auto"/>
              <w:right w:val="single" w:sz="4" w:space="0" w:color="auto"/>
            </w:tcBorders>
          </w:tcPr>
          <w:p w:rsidR="0023183B" w:rsidRDefault="0023183B" w:rsidP="00CD0AE9">
            <w:pPr>
              <w:pStyle w:val="2"/>
              <w:bidi w:val="0"/>
              <w:rPr>
                <w:rFonts w:cs="Times New Roman"/>
                <w:color w:val="800000"/>
                <w:sz w:val="22"/>
                <w:szCs w:val="22"/>
              </w:rPr>
            </w:pPr>
            <w:r>
              <w:rPr>
                <w:rFonts w:cs="Times New Roman"/>
                <w:color w:val="800000"/>
                <w:sz w:val="22"/>
                <w:szCs w:val="22"/>
                <w:lang w:bidi="ar-MA"/>
              </w:rPr>
              <w:t>Code UE : UE22</w:t>
            </w:r>
          </w:p>
        </w:tc>
      </w:tr>
    </w:tbl>
    <w:p w:rsidR="0023183B" w:rsidRDefault="0023183B" w:rsidP="0023183B">
      <w:pPr>
        <w:jc w:val="center"/>
        <w:rPr>
          <w:b/>
          <w:bCs/>
          <w:color w:val="0000FF"/>
          <w:sz w:val="32"/>
          <w:szCs w:val="32"/>
        </w:rPr>
      </w:pPr>
    </w:p>
    <w:p w:rsidR="0023183B" w:rsidRDefault="0023183B" w:rsidP="000578CF">
      <w:pPr>
        <w:jc w:val="center"/>
        <w:rPr>
          <w:b/>
          <w:bCs/>
          <w:color w:val="0000FF"/>
          <w:sz w:val="32"/>
          <w:szCs w:val="32"/>
        </w:rPr>
      </w:pPr>
      <w:r>
        <w:rPr>
          <w:b/>
          <w:bCs/>
          <w:color w:val="0000FF"/>
          <w:sz w:val="32"/>
          <w:szCs w:val="32"/>
        </w:rPr>
        <w:t xml:space="preserve">ECUE n° </w:t>
      </w:r>
      <w:r w:rsidR="000578CF">
        <w:rPr>
          <w:b/>
          <w:bCs/>
          <w:color w:val="0000FF"/>
          <w:sz w:val="32"/>
          <w:szCs w:val="32"/>
        </w:rPr>
        <w:t>2</w:t>
      </w:r>
      <w:r>
        <w:rPr>
          <w:b/>
          <w:bCs/>
          <w:color w:val="0000FF"/>
          <w:sz w:val="32"/>
          <w:szCs w:val="32"/>
        </w:rPr>
        <w:t xml:space="preserve"> ……</w:t>
      </w:r>
      <w:r w:rsidRPr="0023183B">
        <w:rPr>
          <w:b/>
          <w:bCs/>
          <w:color w:val="0000FF"/>
          <w:sz w:val="32"/>
          <w:szCs w:val="32"/>
        </w:rPr>
        <w:t xml:space="preserve"> </w:t>
      </w:r>
      <w:proofErr w:type="spellStart"/>
      <w:r w:rsidRPr="0023183B">
        <w:rPr>
          <w:b/>
          <w:bCs/>
          <w:color w:val="0000FF"/>
          <w:sz w:val="32"/>
          <w:szCs w:val="32"/>
        </w:rPr>
        <w:t>Datawarehouse</w:t>
      </w:r>
      <w:proofErr w:type="spellEnd"/>
      <w:r w:rsidRPr="0023183B">
        <w:rPr>
          <w:b/>
          <w:bCs/>
          <w:color w:val="0000FF"/>
          <w:sz w:val="32"/>
          <w:szCs w:val="32"/>
        </w:rPr>
        <w:t xml:space="preserve">, </w:t>
      </w:r>
      <w:proofErr w:type="spellStart"/>
      <w:r w:rsidRPr="0023183B">
        <w:rPr>
          <w:b/>
          <w:bCs/>
          <w:color w:val="0000FF"/>
          <w:sz w:val="32"/>
          <w:szCs w:val="32"/>
        </w:rPr>
        <w:t>dataming</w:t>
      </w:r>
      <w:proofErr w:type="spellEnd"/>
      <w:r>
        <w:rPr>
          <w:b/>
          <w:bCs/>
          <w:color w:val="0000FF"/>
          <w:sz w:val="32"/>
          <w:szCs w:val="32"/>
        </w:rPr>
        <w:t xml:space="preserve"> …</w:t>
      </w:r>
    </w:p>
    <w:p w:rsidR="003E6AE4" w:rsidRDefault="003E6AE4" w:rsidP="003E6AE4"/>
    <w:p w:rsidR="008D733F" w:rsidRDefault="008D733F" w:rsidP="008D733F">
      <w:r w:rsidRPr="003459C8">
        <w:rPr>
          <w:b/>
          <w:bCs/>
          <w:u w:val="single"/>
        </w:rPr>
        <w:t>Objectifs de l’ECUE</w:t>
      </w:r>
      <w:r>
        <w:t xml:space="preserve"> </w:t>
      </w:r>
    </w:p>
    <w:p w:rsidR="008D733F" w:rsidRDefault="008D733F" w:rsidP="008D733F"/>
    <w:p w:rsidR="008D733F" w:rsidRDefault="008D733F" w:rsidP="008D733F">
      <w:r>
        <w:t xml:space="preserve">      L’étudiant doit assimiler les principes de base de l’extraction, la transformation et le chargement des données provenant de différentes sources afin d’être exploitées par les décideurs. Ce cours est accompagné de mini-projets en entrepôt et Data </w:t>
      </w:r>
      <w:proofErr w:type="spellStart"/>
      <w:r>
        <w:t>Mining</w:t>
      </w:r>
      <w:proofErr w:type="spellEnd"/>
      <w:r>
        <w:t xml:space="preserve"> dans le domaine du CRM.</w:t>
      </w:r>
    </w:p>
    <w:p w:rsidR="008D733F" w:rsidRDefault="008D733F" w:rsidP="008D733F"/>
    <w:p w:rsidR="008D733F" w:rsidRPr="00211660" w:rsidRDefault="008D733F" w:rsidP="008D733F">
      <w:pPr>
        <w:pStyle w:val="Paragraphedeliste"/>
        <w:widowControl w:val="0"/>
        <w:autoSpaceDE w:val="0"/>
        <w:autoSpaceDN w:val="0"/>
        <w:adjustRightInd w:val="0"/>
        <w:jc w:val="both"/>
        <w:textAlignment w:val="baseline"/>
        <w:rPr>
          <w:b/>
          <w:bCs/>
          <w:sz w:val="24"/>
          <w:szCs w:val="24"/>
          <w:u w:val="single"/>
        </w:rPr>
      </w:pPr>
      <w:r w:rsidRPr="00211660">
        <w:rPr>
          <w:b/>
          <w:bCs/>
          <w:sz w:val="24"/>
          <w:szCs w:val="24"/>
          <w:u w:val="single"/>
        </w:rPr>
        <w:t>Chapitre I</w:t>
      </w:r>
      <w:r>
        <w:rPr>
          <w:b/>
          <w:bCs/>
          <w:sz w:val="24"/>
          <w:szCs w:val="24"/>
          <w:u w:val="single"/>
        </w:rPr>
        <w:t xml:space="preserve"> -</w:t>
      </w:r>
      <w:r w:rsidRPr="00211660">
        <w:rPr>
          <w:b/>
          <w:bCs/>
          <w:sz w:val="24"/>
          <w:szCs w:val="24"/>
          <w:u w:val="single"/>
        </w:rPr>
        <w:t xml:space="preserve"> Entrepôt de données</w:t>
      </w:r>
    </w:p>
    <w:p w:rsidR="008D733F" w:rsidRPr="00211660" w:rsidRDefault="008D733F" w:rsidP="008D733F">
      <w:pPr>
        <w:pStyle w:val="Titre1"/>
        <w:bidi w:val="0"/>
        <w:rPr>
          <w:szCs w:val="24"/>
        </w:rPr>
      </w:pPr>
    </w:p>
    <w:p w:rsidR="008D733F" w:rsidRDefault="008D733F" w:rsidP="008D733F">
      <w:pPr>
        <w:pStyle w:val="Paragraphedeliste"/>
        <w:widowControl w:val="0"/>
        <w:numPr>
          <w:ilvl w:val="0"/>
          <w:numId w:val="6"/>
        </w:numPr>
        <w:autoSpaceDE w:val="0"/>
        <w:autoSpaceDN w:val="0"/>
        <w:adjustRightInd w:val="0"/>
        <w:spacing w:after="0" w:line="240" w:lineRule="auto"/>
        <w:ind w:left="1169"/>
        <w:jc w:val="both"/>
        <w:textAlignment w:val="baseline"/>
        <w:rPr>
          <w:sz w:val="24"/>
          <w:szCs w:val="24"/>
        </w:rPr>
      </w:pPr>
      <w:r>
        <w:rPr>
          <w:sz w:val="24"/>
          <w:szCs w:val="24"/>
        </w:rPr>
        <w:t xml:space="preserve">Introduction </w:t>
      </w:r>
    </w:p>
    <w:p w:rsidR="008D733F" w:rsidRDefault="008D733F" w:rsidP="008D733F">
      <w:pPr>
        <w:pStyle w:val="Paragraphedeliste"/>
        <w:widowControl w:val="0"/>
        <w:numPr>
          <w:ilvl w:val="0"/>
          <w:numId w:val="6"/>
        </w:numPr>
        <w:autoSpaceDE w:val="0"/>
        <w:autoSpaceDN w:val="0"/>
        <w:adjustRightInd w:val="0"/>
        <w:spacing w:after="0" w:line="240" w:lineRule="auto"/>
        <w:ind w:left="1169"/>
        <w:jc w:val="both"/>
        <w:textAlignment w:val="baseline"/>
        <w:rPr>
          <w:sz w:val="24"/>
          <w:szCs w:val="24"/>
        </w:rPr>
      </w:pPr>
      <w:r>
        <w:rPr>
          <w:sz w:val="24"/>
          <w:szCs w:val="24"/>
        </w:rPr>
        <w:t>Processus OLTP et OLAP</w:t>
      </w:r>
    </w:p>
    <w:p w:rsidR="008D733F" w:rsidRDefault="008D733F" w:rsidP="008D733F">
      <w:pPr>
        <w:pStyle w:val="Paragraphedeliste"/>
        <w:widowControl w:val="0"/>
        <w:numPr>
          <w:ilvl w:val="0"/>
          <w:numId w:val="6"/>
        </w:numPr>
        <w:autoSpaceDE w:val="0"/>
        <w:autoSpaceDN w:val="0"/>
        <w:adjustRightInd w:val="0"/>
        <w:spacing w:after="0" w:line="240" w:lineRule="auto"/>
        <w:ind w:left="1169"/>
        <w:jc w:val="both"/>
        <w:textAlignment w:val="baseline"/>
        <w:rPr>
          <w:sz w:val="24"/>
          <w:szCs w:val="24"/>
        </w:rPr>
      </w:pPr>
      <w:r>
        <w:rPr>
          <w:sz w:val="24"/>
          <w:szCs w:val="24"/>
        </w:rPr>
        <w:t xml:space="preserve">Modélisation d’un Data </w:t>
      </w:r>
      <w:proofErr w:type="spellStart"/>
      <w:r>
        <w:rPr>
          <w:sz w:val="24"/>
          <w:szCs w:val="24"/>
        </w:rPr>
        <w:t>Mart</w:t>
      </w:r>
      <w:proofErr w:type="spellEnd"/>
    </w:p>
    <w:p w:rsidR="008D733F" w:rsidRDefault="008D733F" w:rsidP="008D733F">
      <w:pPr>
        <w:pStyle w:val="Paragraphedeliste"/>
        <w:widowControl w:val="0"/>
        <w:numPr>
          <w:ilvl w:val="0"/>
          <w:numId w:val="6"/>
        </w:numPr>
        <w:autoSpaceDE w:val="0"/>
        <w:autoSpaceDN w:val="0"/>
        <w:adjustRightInd w:val="0"/>
        <w:spacing w:after="0" w:line="240" w:lineRule="auto"/>
        <w:ind w:left="1169"/>
        <w:jc w:val="both"/>
        <w:textAlignment w:val="baseline"/>
        <w:rPr>
          <w:sz w:val="24"/>
          <w:szCs w:val="24"/>
        </w:rPr>
      </w:pPr>
      <w:r>
        <w:rPr>
          <w:sz w:val="24"/>
          <w:szCs w:val="24"/>
        </w:rPr>
        <w:t>Mini-projets</w:t>
      </w:r>
    </w:p>
    <w:p w:rsidR="008D733F" w:rsidRDefault="008D733F" w:rsidP="008D733F"/>
    <w:p w:rsidR="008D733F" w:rsidRDefault="008D733F" w:rsidP="008D733F"/>
    <w:p w:rsidR="008D733F" w:rsidRPr="00211660" w:rsidRDefault="008D733F" w:rsidP="008D733F">
      <w:pPr>
        <w:pStyle w:val="Paragraphedeliste"/>
        <w:widowControl w:val="0"/>
        <w:autoSpaceDE w:val="0"/>
        <w:autoSpaceDN w:val="0"/>
        <w:adjustRightInd w:val="0"/>
        <w:jc w:val="both"/>
        <w:textAlignment w:val="baseline"/>
        <w:rPr>
          <w:b/>
          <w:bCs/>
          <w:sz w:val="24"/>
          <w:szCs w:val="24"/>
          <w:u w:val="single"/>
        </w:rPr>
      </w:pPr>
      <w:r w:rsidRPr="00211660">
        <w:rPr>
          <w:b/>
          <w:bCs/>
          <w:sz w:val="24"/>
          <w:szCs w:val="24"/>
          <w:u w:val="single"/>
        </w:rPr>
        <w:t xml:space="preserve">Chapitre II Data </w:t>
      </w:r>
      <w:proofErr w:type="spellStart"/>
      <w:r w:rsidRPr="00211660">
        <w:rPr>
          <w:b/>
          <w:bCs/>
          <w:sz w:val="24"/>
          <w:szCs w:val="24"/>
          <w:u w:val="single"/>
        </w:rPr>
        <w:t>Mining</w:t>
      </w:r>
      <w:proofErr w:type="spellEnd"/>
      <w:r w:rsidRPr="00211660">
        <w:rPr>
          <w:b/>
          <w:bCs/>
          <w:sz w:val="24"/>
          <w:szCs w:val="24"/>
          <w:u w:val="single"/>
        </w:rPr>
        <w:t xml:space="preserve"> </w:t>
      </w:r>
    </w:p>
    <w:p w:rsidR="008D733F" w:rsidRDefault="008D733F" w:rsidP="008D733F">
      <w:pPr>
        <w:pStyle w:val="Titre1"/>
        <w:bidi w:val="0"/>
      </w:pPr>
    </w:p>
    <w:p w:rsidR="008D733F" w:rsidRDefault="008D733F" w:rsidP="008D733F"/>
    <w:p w:rsidR="008D733F" w:rsidRDefault="008D733F" w:rsidP="008D733F">
      <w:pPr>
        <w:pStyle w:val="Paragraphedeliste"/>
        <w:widowControl w:val="0"/>
        <w:numPr>
          <w:ilvl w:val="0"/>
          <w:numId w:val="6"/>
        </w:numPr>
        <w:autoSpaceDE w:val="0"/>
        <w:autoSpaceDN w:val="0"/>
        <w:adjustRightInd w:val="0"/>
        <w:spacing w:after="0" w:line="240" w:lineRule="auto"/>
        <w:ind w:left="1169" w:hanging="426"/>
        <w:jc w:val="both"/>
        <w:textAlignment w:val="baseline"/>
        <w:rPr>
          <w:sz w:val="24"/>
          <w:szCs w:val="24"/>
        </w:rPr>
      </w:pPr>
      <w:r>
        <w:rPr>
          <w:sz w:val="24"/>
          <w:szCs w:val="24"/>
        </w:rPr>
        <w:t>Notions de base de la fouille de données et du CRM</w:t>
      </w:r>
    </w:p>
    <w:p w:rsidR="008D733F" w:rsidRDefault="008D733F" w:rsidP="008D733F">
      <w:pPr>
        <w:pStyle w:val="Paragraphedeliste"/>
        <w:widowControl w:val="0"/>
        <w:numPr>
          <w:ilvl w:val="0"/>
          <w:numId w:val="6"/>
        </w:numPr>
        <w:autoSpaceDE w:val="0"/>
        <w:autoSpaceDN w:val="0"/>
        <w:adjustRightInd w:val="0"/>
        <w:spacing w:after="0" w:line="240" w:lineRule="auto"/>
        <w:ind w:left="1169" w:hanging="426"/>
        <w:jc w:val="both"/>
        <w:textAlignment w:val="baseline"/>
        <w:rPr>
          <w:sz w:val="24"/>
          <w:szCs w:val="24"/>
        </w:rPr>
      </w:pPr>
      <w:r>
        <w:rPr>
          <w:sz w:val="24"/>
          <w:szCs w:val="24"/>
        </w:rPr>
        <w:t>Techniques de la fouille de données</w:t>
      </w:r>
    </w:p>
    <w:p w:rsidR="008D733F" w:rsidRPr="00047C1D" w:rsidRDefault="008D733F" w:rsidP="008D733F">
      <w:pPr>
        <w:pStyle w:val="Paragraphedeliste"/>
        <w:widowControl w:val="0"/>
        <w:numPr>
          <w:ilvl w:val="0"/>
          <w:numId w:val="6"/>
        </w:numPr>
        <w:autoSpaceDE w:val="0"/>
        <w:autoSpaceDN w:val="0"/>
        <w:adjustRightInd w:val="0"/>
        <w:spacing w:after="0" w:line="240" w:lineRule="auto"/>
        <w:ind w:left="1169" w:hanging="426"/>
        <w:jc w:val="both"/>
        <w:textAlignment w:val="baseline"/>
        <w:rPr>
          <w:sz w:val="24"/>
          <w:szCs w:val="24"/>
        </w:rPr>
      </w:pPr>
      <w:r>
        <w:rPr>
          <w:sz w:val="24"/>
          <w:szCs w:val="24"/>
        </w:rPr>
        <w:t>Mini-projets appliqués au CRM</w:t>
      </w:r>
    </w:p>
    <w:p w:rsidR="008D733F" w:rsidRDefault="008D733F" w:rsidP="008D733F"/>
    <w:p w:rsidR="008D733F" w:rsidRDefault="008D733F" w:rsidP="008D733F"/>
    <w:p w:rsidR="008D733F" w:rsidRDefault="008D733F"/>
    <w:sectPr w:rsidR="008D733F" w:rsidSect="007C5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auto"/>
    <w:pitch w:val="variable"/>
    <w:sig w:usb0="00008000" w:usb1="00000000" w:usb2="00000000" w:usb3="00000000" w:csb0="0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5508"/>
    <w:multiLevelType w:val="multilevel"/>
    <w:tmpl w:val="D27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D73AF"/>
    <w:multiLevelType w:val="hybridMultilevel"/>
    <w:tmpl w:val="9F8A080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8D437A"/>
    <w:multiLevelType w:val="hybridMultilevel"/>
    <w:tmpl w:val="0F848E68"/>
    <w:lvl w:ilvl="0" w:tplc="E4983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E33BAC"/>
    <w:multiLevelType w:val="hybridMultilevel"/>
    <w:tmpl w:val="00BC6B38"/>
    <w:lvl w:ilvl="0" w:tplc="35A686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AD529F"/>
    <w:multiLevelType w:val="hybridMultilevel"/>
    <w:tmpl w:val="D97AD300"/>
    <w:lvl w:ilvl="0" w:tplc="70468F24">
      <w:start w:val="3"/>
      <w:numFmt w:val="decimal"/>
      <w:lvlText w:val="%1-"/>
      <w:lvlJc w:val="left"/>
      <w:pPr>
        <w:ind w:left="720" w:hanging="360"/>
      </w:pPr>
      <w:rPr>
        <w:rFonts w:hint="default"/>
        <w:b/>
        <w:color w:val="0000FF"/>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EF6D55"/>
    <w:multiLevelType w:val="hybridMultilevel"/>
    <w:tmpl w:val="59768CA6"/>
    <w:lvl w:ilvl="0" w:tplc="16E4A88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866EB9"/>
    <w:multiLevelType w:val="hybridMultilevel"/>
    <w:tmpl w:val="260C10BE"/>
    <w:lvl w:ilvl="0" w:tplc="5BB0E9F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26E37"/>
    <w:rsid w:val="000578CF"/>
    <w:rsid w:val="00117CA8"/>
    <w:rsid w:val="00176649"/>
    <w:rsid w:val="001B7188"/>
    <w:rsid w:val="001C2D35"/>
    <w:rsid w:val="0023183B"/>
    <w:rsid w:val="002F1217"/>
    <w:rsid w:val="00384838"/>
    <w:rsid w:val="003A7745"/>
    <w:rsid w:val="003E6AE4"/>
    <w:rsid w:val="004403AB"/>
    <w:rsid w:val="004421CE"/>
    <w:rsid w:val="004F1DDC"/>
    <w:rsid w:val="005A2764"/>
    <w:rsid w:val="005B7236"/>
    <w:rsid w:val="006357BE"/>
    <w:rsid w:val="00661BA9"/>
    <w:rsid w:val="007C5D5D"/>
    <w:rsid w:val="008D733F"/>
    <w:rsid w:val="00B17E3F"/>
    <w:rsid w:val="00B96D45"/>
    <w:rsid w:val="00C31BC8"/>
    <w:rsid w:val="00CB675A"/>
    <w:rsid w:val="00DF09D7"/>
    <w:rsid w:val="00E26E37"/>
    <w:rsid w:val="00E379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37"/>
    <w:pPr>
      <w:spacing w:after="0" w:line="240" w:lineRule="auto"/>
    </w:pPr>
    <w:rPr>
      <w:rFonts w:ascii="Times New Roman" w:eastAsia="Times New Roman" w:hAnsi="Times New Roman" w:cs="Times New Roman"/>
      <w:sz w:val="24"/>
      <w:szCs w:val="24"/>
      <w:lang w:eastAsia="fr-FR" w:bidi="ar-TN"/>
    </w:rPr>
  </w:style>
  <w:style w:type="paragraph" w:styleId="Titre1">
    <w:name w:val="heading 1"/>
    <w:basedOn w:val="Normal"/>
    <w:next w:val="Normal"/>
    <w:link w:val="Titre1Car"/>
    <w:qFormat/>
    <w:rsid w:val="0023183B"/>
    <w:pPr>
      <w:keepNext/>
      <w:bidi/>
      <w:jc w:val="both"/>
      <w:outlineLvl w:val="0"/>
    </w:pPr>
    <w:rPr>
      <w:b/>
      <w:bCs/>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E37"/>
    <w:pPr>
      <w:spacing w:after="200" w:line="276" w:lineRule="auto"/>
      <w:ind w:left="720"/>
      <w:contextualSpacing/>
    </w:pPr>
    <w:rPr>
      <w:rFonts w:ascii="Rockwell" w:hAnsi="Rockwell"/>
      <w:sz w:val="22"/>
      <w:szCs w:val="22"/>
      <w:lang w:eastAsia="en-US" w:bidi="en-US"/>
    </w:rPr>
  </w:style>
  <w:style w:type="character" w:styleId="lev">
    <w:name w:val="Strong"/>
    <w:uiPriority w:val="22"/>
    <w:qFormat/>
    <w:rsid w:val="00E26E37"/>
    <w:rPr>
      <w:b/>
      <w:bCs/>
    </w:rPr>
  </w:style>
  <w:style w:type="paragraph" w:customStyle="1" w:styleId="texteifgp2">
    <w:name w:val="texteifgp2"/>
    <w:basedOn w:val="Normal"/>
    <w:rsid w:val="00E26E37"/>
    <w:pPr>
      <w:spacing w:before="100" w:beforeAutospacing="1" w:after="100" w:afterAutospacing="1"/>
    </w:pPr>
    <w:rPr>
      <w:lang w:bidi="ar-SA"/>
    </w:rPr>
  </w:style>
  <w:style w:type="paragraph" w:customStyle="1" w:styleId="Default">
    <w:name w:val="Default"/>
    <w:rsid w:val="00E26E3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souligner1">
    <w:name w:val="souligner1"/>
    <w:basedOn w:val="Policepardfaut"/>
    <w:rsid w:val="00E26E37"/>
    <w:rPr>
      <w:u w:val="single"/>
    </w:rPr>
  </w:style>
  <w:style w:type="paragraph" w:customStyle="1" w:styleId="Contenudetableau">
    <w:name w:val="Contenu de tableau"/>
    <w:basedOn w:val="Normal"/>
    <w:rsid w:val="004403AB"/>
    <w:pPr>
      <w:widowControl w:val="0"/>
      <w:suppressLineNumbers/>
      <w:suppressAutoHyphens/>
    </w:pPr>
    <w:rPr>
      <w:rFonts w:eastAsia="SimSun" w:cs="Mangal"/>
      <w:kern w:val="1"/>
      <w:lang w:eastAsia="hi-IN" w:bidi="hi-IN"/>
    </w:rPr>
  </w:style>
  <w:style w:type="character" w:customStyle="1" w:styleId="Titre1Car">
    <w:name w:val="Titre 1 Car"/>
    <w:basedOn w:val="Policepardfaut"/>
    <w:link w:val="Titre1"/>
    <w:rsid w:val="0023183B"/>
    <w:rPr>
      <w:rFonts w:ascii="Times New Roman" w:eastAsia="Times New Roman" w:hAnsi="Times New Roman" w:cs="Times New Roman"/>
      <w:b/>
      <w:bCs/>
      <w:sz w:val="24"/>
      <w:szCs w:val="28"/>
      <w:u w:val="single"/>
      <w:lang w:eastAsia="fr-FR" w:bidi="ar-TN"/>
    </w:rPr>
  </w:style>
  <w:style w:type="paragraph" w:customStyle="1" w:styleId="2">
    <w:name w:val="2"/>
    <w:basedOn w:val="Titre"/>
    <w:rsid w:val="0023183B"/>
    <w:pPr>
      <w:pBdr>
        <w:bottom w:val="none" w:sz="0" w:space="0" w:color="auto"/>
      </w:pBdr>
      <w:bidi/>
      <w:spacing w:after="0"/>
      <w:contextualSpacing w:val="0"/>
      <w:jc w:val="center"/>
    </w:pPr>
    <w:rPr>
      <w:rFonts w:ascii="Times New Roman" w:eastAsia="Times New Roman" w:hAnsi="Times New Roman" w:cs="Simplified Arabic"/>
      <w:b/>
      <w:bCs/>
      <w:color w:val="0000FF"/>
      <w:spacing w:val="0"/>
      <w:kern w:val="0"/>
      <w:sz w:val="36"/>
      <w:szCs w:val="36"/>
    </w:rPr>
  </w:style>
  <w:style w:type="paragraph" w:styleId="Lgende">
    <w:name w:val="caption"/>
    <w:basedOn w:val="Normal"/>
    <w:next w:val="Normal"/>
    <w:qFormat/>
    <w:rsid w:val="0023183B"/>
    <w:pPr>
      <w:jc w:val="center"/>
    </w:pPr>
    <w:rPr>
      <w:b/>
      <w:bCs/>
      <w:color w:val="0000FF"/>
      <w:sz w:val="32"/>
      <w:szCs w:val="32"/>
    </w:rPr>
  </w:style>
  <w:style w:type="table" w:styleId="Grilledutableau">
    <w:name w:val="Table Grid"/>
    <w:basedOn w:val="TableauNormal"/>
    <w:uiPriority w:val="59"/>
    <w:rsid w:val="00231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2318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3183B"/>
    <w:rPr>
      <w:rFonts w:asciiTheme="majorHAnsi" w:eastAsiaTheme="majorEastAsia" w:hAnsiTheme="majorHAnsi" w:cstheme="majorBidi"/>
      <w:color w:val="17365D" w:themeColor="text2" w:themeShade="BF"/>
      <w:spacing w:val="5"/>
      <w:kern w:val="28"/>
      <w:sz w:val="52"/>
      <w:szCs w:val="52"/>
      <w:lang w:eastAsia="fr-FR" w:bidi="ar-T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4060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benammar</dc:creator>
  <cp:lastModifiedBy>esce</cp:lastModifiedBy>
  <cp:revision>2</cp:revision>
  <dcterms:created xsi:type="dcterms:W3CDTF">2014-04-14T13:27:00Z</dcterms:created>
  <dcterms:modified xsi:type="dcterms:W3CDTF">2014-04-14T13:27:00Z</dcterms:modified>
</cp:coreProperties>
</file>