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CellMar>
          <w:left w:w="70" w:type="dxa"/>
          <w:right w:w="70" w:type="dxa"/>
        </w:tblCellMar>
        <w:tblLook w:val="0000"/>
      </w:tblPr>
      <w:tblGrid>
        <w:gridCol w:w="4500"/>
      </w:tblGrid>
      <w:tr w:rsidR="00F377C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00" w:type="dxa"/>
            <w:vAlign w:val="center"/>
          </w:tcPr>
          <w:p w:rsidR="00F377CE" w:rsidRDefault="006E089D" w:rsidP="00F377CE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0</wp:posOffset>
                  </wp:positionV>
                  <wp:extent cx="666750" cy="800100"/>
                  <wp:effectExtent l="19050" t="0" r="0" b="0"/>
                  <wp:wrapNone/>
                  <wp:docPr id="16" name="Image 16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7CE">
              <w:rPr>
                <w:rFonts w:ascii="Arial" w:hAnsi="Arial" w:cs="Arial"/>
                <w:b w:val="0"/>
                <w:bCs w:val="0"/>
                <w:noProof w:val="0"/>
              </w:rPr>
              <w:t>REPUBLIQUE TUNISIENNE</w:t>
            </w:r>
          </w:p>
        </w:tc>
      </w:tr>
      <w:tr w:rsidR="00F377C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500" w:type="dxa"/>
          </w:tcPr>
          <w:p w:rsidR="00F377CE" w:rsidRDefault="00F377CE" w:rsidP="00F37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MINISTERE DE L’ENSEIGNEMENT SUPERIEUR ET </w:t>
            </w:r>
          </w:p>
          <w:p w:rsidR="00F377CE" w:rsidRDefault="00F377CE" w:rsidP="00F377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LA RECHERCHE SCIENTIFIQUE</w:t>
            </w:r>
          </w:p>
        </w:tc>
      </w:tr>
      <w:tr w:rsidR="00F377CE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377CE" w:rsidRDefault="00F377CE" w:rsidP="00F377CE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Direction Générale de la Coopération Internationale</w:t>
            </w:r>
          </w:p>
        </w:tc>
      </w:tr>
    </w:tbl>
    <w:p w:rsidR="00F377CE" w:rsidRDefault="00F377CE"/>
    <w:p w:rsidR="00F377CE" w:rsidRDefault="00F377CE"/>
    <w:p w:rsidR="00F377CE" w:rsidRDefault="00F377CE"/>
    <w:p w:rsidR="00815B3E" w:rsidRDefault="00815B3E" w:rsidP="000F028A">
      <w:pPr>
        <w:pStyle w:val="NormalWeb"/>
        <w:shd w:val="clear" w:color="auto" w:fill="FFFFFF"/>
        <w:spacing w:before="0" w:beforeAutospacing="0" w:after="69" w:afterAutospacing="0" w:line="312" w:lineRule="atLeast"/>
        <w:jc w:val="center"/>
        <w:rPr>
          <w:b/>
          <w:bCs/>
          <w:sz w:val="30"/>
          <w:szCs w:val="30"/>
        </w:rPr>
      </w:pPr>
    </w:p>
    <w:p w:rsidR="006F7492" w:rsidRPr="009D0C95" w:rsidRDefault="00B37E8A" w:rsidP="000F028A">
      <w:pPr>
        <w:pStyle w:val="NormalWeb"/>
        <w:shd w:val="clear" w:color="auto" w:fill="FFFFFF"/>
        <w:spacing w:before="0" w:beforeAutospacing="0" w:after="69" w:afterAutospacing="0" w:line="312" w:lineRule="atLeast"/>
        <w:jc w:val="center"/>
        <w:rPr>
          <w:b/>
          <w:bCs/>
          <w:sz w:val="30"/>
          <w:szCs w:val="30"/>
        </w:rPr>
      </w:pPr>
      <w:r w:rsidRPr="009D0C95">
        <w:rPr>
          <w:b/>
          <w:bCs/>
          <w:sz w:val="30"/>
          <w:szCs w:val="30"/>
        </w:rPr>
        <w:t>Offre</w:t>
      </w:r>
      <w:r w:rsidR="00664AB9" w:rsidRPr="009D0C95">
        <w:rPr>
          <w:b/>
          <w:bCs/>
          <w:sz w:val="30"/>
          <w:szCs w:val="30"/>
        </w:rPr>
        <w:t xml:space="preserve"> </w:t>
      </w:r>
      <w:r w:rsidR="007F7814" w:rsidRPr="009D0C95">
        <w:rPr>
          <w:b/>
          <w:bCs/>
          <w:sz w:val="30"/>
          <w:szCs w:val="30"/>
        </w:rPr>
        <w:t xml:space="preserve">de </w:t>
      </w:r>
      <w:r w:rsidR="000F028A">
        <w:rPr>
          <w:b/>
          <w:bCs/>
          <w:sz w:val="30"/>
          <w:szCs w:val="30"/>
        </w:rPr>
        <w:t>B</w:t>
      </w:r>
      <w:r w:rsidR="007F7814" w:rsidRPr="009D0C95">
        <w:rPr>
          <w:b/>
          <w:bCs/>
          <w:sz w:val="30"/>
          <w:szCs w:val="30"/>
        </w:rPr>
        <w:t>ourses</w:t>
      </w:r>
      <w:r w:rsidR="00664AB9" w:rsidRPr="009D0C95">
        <w:rPr>
          <w:b/>
          <w:bCs/>
          <w:sz w:val="30"/>
          <w:szCs w:val="30"/>
        </w:rPr>
        <w:t xml:space="preserve"> </w:t>
      </w:r>
      <w:r w:rsidR="00860C0C" w:rsidRPr="009D0C95">
        <w:rPr>
          <w:b/>
          <w:bCs/>
          <w:sz w:val="30"/>
          <w:szCs w:val="30"/>
        </w:rPr>
        <w:t>d</w:t>
      </w:r>
      <w:r w:rsidR="006F7492" w:rsidRPr="009D0C95">
        <w:rPr>
          <w:b/>
          <w:bCs/>
          <w:sz w:val="30"/>
          <w:szCs w:val="30"/>
        </w:rPr>
        <w:t>’Etudes</w:t>
      </w:r>
      <w:r w:rsidR="009D0C95" w:rsidRPr="009D0C95">
        <w:rPr>
          <w:b/>
          <w:bCs/>
          <w:sz w:val="30"/>
          <w:szCs w:val="30"/>
        </w:rPr>
        <w:t xml:space="preserve"> au Collège d’Europe</w:t>
      </w:r>
    </w:p>
    <w:p w:rsidR="006F7492" w:rsidRPr="009D0C95" w:rsidRDefault="006F7492" w:rsidP="008B2631">
      <w:pPr>
        <w:pStyle w:val="NormalWeb"/>
        <w:shd w:val="clear" w:color="auto" w:fill="FFFFFF"/>
        <w:spacing w:before="0" w:beforeAutospacing="0" w:after="69" w:afterAutospacing="0" w:line="312" w:lineRule="atLeast"/>
        <w:jc w:val="center"/>
        <w:rPr>
          <w:rFonts w:ascii="Arial" w:hAnsi="Arial" w:cs="Arial"/>
          <w:color w:val="393939"/>
          <w:sz w:val="30"/>
          <w:szCs w:val="30"/>
        </w:rPr>
      </w:pPr>
      <w:r w:rsidRPr="009D0C95">
        <w:rPr>
          <w:b/>
          <w:bCs/>
          <w:sz w:val="30"/>
          <w:szCs w:val="30"/>
        </w:rPr>
        <w:t xml:space="preserve">pour l’année académique </w:t>
      </w:r>
      <w:r w:rsidR="005D0BF6">
        <w:rPr>
          <w:b/>
          <w:bCs/>
          <w:sz w:val="30"/>
          <w:szCs w:val="30"/>
        </w:rPr>
        <w:t>201</w:t>
      </w:r>
      <w:r w:rsidR="008B2631">
        <w:rPr>
          <w:b/>
          <w:bCs/>
          <w:sz w:val="30"/>
          <w:szCs w:val="30"/>
        </w:rPr>
        <w:t>8</w:t>
      </w:r>
      <w:r w:rsidR="005D0BF6">
        <w:rPr>
          <w:b/>
          <w:bCs/>
          <w:sz w:val="30"/>
          <w:szCs w:val="30"/>
        </w:rPr>
        <w:t>-201</w:t>
      </w:r>
      <w:r w:rsidR="008B2631">
        <w:rPr>
          <w:b/>
          <w:bCs/>
          <w:sz w:val="30"/>
          <w:szCs w:val="30"/>
        </w:rPr>
        <w:t>9</w:t>
      </w:r>
    </w:p>
    <w:p w:rsidR="00F377CE" w:rsidRDefault="00F377CE"/>
    <w:p w:rsidR="00E923C7" w:rsidRDefault="00E923C7"/>
    <w:p w:rsidR="00C16BEB" w:rsidRDefault="00061AE0" w:rsidP="00481F44">
      <w:pPr>
        <w:spacing w:line="276" w:lineRule="auto"/>
        <w:jc w:val="both"/>
        <w:rPr>
          <w:rStyle w:val="lev"/>
          <w:b w:val="0"/>
          <w:bCs w:val="0"/>
        </w:rPr>
      </w:pPr>
      <w:r w:rsidRPr="008C06BB">
        <w:t xml:space="preserve">Le </w:t>
      </w:r>
      <w:r w:rsidR="00592856" w:rsidRPr="008C06BB">
        <w:t>Ministère de l’Enseignement Supérieur et de la Recherche Scientifique</w:t>
      </w:r>
      <w:r w:rsidRPr="008C06BB">
        <w:t xml:space="preserve"> </w:t>
      </w:r>
      <w:r w:rsidRPr="008C06BB">
        <w:rPr>
          <w:rStyle w:val="lev"/>
          <w:b w:val="0"/>
          <w:bCs w:val="0"/>
        </w:rPr>
        <w:t>( Direction Générale de la Coopération Internationale),</w:t>
      </w:r>
      <w:r w:rsidRPr="008C06BB">
        <w:t xml:space="preserve"> </w:t>
      </w:r>
      <w:r w:rsidR="00592856" w:rsidRPr="008C06BB">
        <w:t xml:space="preserve"> </w:t>
      </w:r>
      <w:r w:rsidR="00592856" w:rsidRPr="008C06BB">
        <w:rPr>
          <w:rStyle w:val="redmedium"/>
        </w:rPr>
        <w:t>informe que</w:t>
      </w:r>
      <w:r w:rsidR="006F7492" w:rsidRPr="008C06BB">
        <w:rPr>
          <w:rStyle w:val="redmedium"/>
        </w:rPr>
        <w:t xml:space="preserve"> la </w:t>
      </w:r>
      <w:r w:rsidR="006F7492" w:rsidRPr="008C06BB">
        <w:t xml:space="preserve">Direction Générale </w:t>
      </w:r>
      <w:r w:rsidR="00423C5F">
        <w:t>de l’</w:t>
      </w:r>
      <w:r w:rsidR="006F7492" w:rsidRPr="008C06BB">
        <w:t xml:space="preserve">Education et </w:t>
      </w:r>
      <w:r w:rsidR="00423C5F">
        <w:t xml:space="preserve">de la </w:t>
      </w:r>
      <w:r w:rsidR="006F7492" w:rsidRPr="008C06BB">
        <w:t xml:space="preserve">Culture </w:t>
      </w:r>
      <w:r w:rsidR="009D0C95" w:rsidRPr="008C06BB">
        <w:t>de la Commission</w:t>
      </w:r>
      <w:r w:rsidR="006F7492" w:rsidRPr="008C06BB">
        <w:t xml:space="preserve"> Européenne</w:t>
      </w:r>
      <w:r w:rsidR="00592856" w:rsidRPr="008C06BB">
        <w:t>,</w:t>
      </w:r>
      <w:r w:rsidR="00592856" w:rsidRPr="008C06BB">
        <w:rPr>
          <w:rFonts w:cs="Traditional Arabic"/>
          <w:lang w:bidi="ar-TN"/>
        </w:rPr>
        <w:t xml:space="preserve"> </w:t>
      </w:r>
      <w:r w:rsidR="00FF5F63" w:rsidRPr="008C06BB">
        <w:rPr>
          <w:rStyle w:val="redmedium"/>
        </w:rPr>
        <w:t>offre</w:t>
      </w:r>
      <w:r w:rsidR="00FF5F63" w:rsidRPr="008C06BB">
        <w:rPr>
          <w:rFonts w:ascii="Arial" w:hAnsi="Arial" w:cs="Arial"/>
          <w:color w:val="393939"/>
        </w:rPr>
        <w:t xml:space="preserve"> </w:t>
      </w:r>
      <w:r w:rsidR="00FF5F63" w:rsidRPr="008C06BB">
        <w:rPr>
          <w:rStyle w:val="lev"/>
          <w:b w:val="0"/>
          <w:bCs w:val="0"/>
        </w:rPr>
        <w:t>des bourses d'études à des diplômés universitaires provenant des pays de la Politique Européenne de Voisinage (PEV)</w:t>
      </w:r>
      <w:r w:rsidR="009D0C95" w:rsidRPr="008C06BB">
        <w:rPr>
          <w:rStyle w:val="lev"/>
          <w:b w:val="0"/>
          <w:bCs w:val="0"/>
        </w:rPr>
        <w:t>, dont fait partie la Tunisie</w:t>
      </w:r>
      <w:r w:rsidR="002B1788" w:rsidRPr="008C06BB">
        <w:rPr>
          <w:rStyle w:val="lev"/>
          <w:b w:val="0"/>
          <w:bCs w:val="0"/>
        </w:rPr>
        <w:t xml:space="preserve">, </w:t>
      </w:r>
      <w:r w:rsidR="00C16BEB">
        <w:rPr>
          <w:rStyle w:val="lev"/>
          <w:b w:val="0"/>
          <w:bCs w:val="0"/>
        </w:rPr>
        <w:t>pour</w:t>
      </w:r>
      <w:r w:rsidR="00FF5F63" w:rsidRPr="008C06BB">
        <w:rPr>
          <w:rStyle w:val="lev"/>
          <w:b w:val="0"/>
          <w:bCs w:val="0"/>
        </w:rPr>
        <w:t xml:space="preserve"> poursuivre des études post-universitaires au Collège d'Europe</w:t>
      </w:r>
      <w:r w:rsidR="00901D70">
        <w:rPr>
          <w:rStyle w:val="lev"/>
          <w:b w:val="0"/>
          <w:bCs w:val="0"/>
        </w:rPr>
        <w:t xml:space="preserve">, campus de </w:t>
      </w:r>
      <w:hyperlink r:id="rId7" w:history="1">
        <w:r w:rsidR="00901D70" w:rsidRPr="00901D70">
          <w:rPr>
            <w:rStyle w:val="lev"/>
            <w:b w:val="0"/>
            <w:bCs w:val="0"/>
          </w:rPr>
          <w:t>Bruges</w:t>
        </w:r>
      </w:hyperlink>
      <w:r w:rsidR="00901D70">
        <w:rPr>
          <w:rStyle w:val="lev"/>
          <w:b w:val="0"/>
          <w:bCs w:val="0"/>
        </w:rPr>
        <w:t xml:space="preserve"> (Belgique) et </w:t>
      </w:r>
      <w:hyperlink r:id="rId8" w:history="1">
        <w:r w:rsidR="00901D70" w:rsidRPr="00901D70">
          <w:rPr>
            <w:rStyle w:val="lev"/>
            <w:b w:val="0"/>
            <w:bCs w:val="0"/>
          </w:rPr>
          <w:t>campus de Natolin</w:t>
        </w:r>
      </w:hyperlink>
      <w:r w:rsidR="00901D70">
        <w:rPr>
          <w:rStyle w:val="lev"/>
          <w:b w:val="0"/>
          <w:bCs w:val="0"/>
        </w:rPr>
        <w:t xml:space="preserve"> (</w:t>
      </w:r>
      <w:r w:rsidR="003B6629">
        <w:rPr>
          <w:rStyle w:val="lev"/>
          <w:b w:val="0"/>
          <w:bCs w:val="0"/>
        </w:rPr>
        <w:t>Varsovie</w:t>
      </w:r>
      <w:r w:rsidR="00901D70">
        <w:rPr>
          <w:rStyle w:val="lev"/>
          <w:b w:val="0"/>
          <w:bCs w:val="0"/>
        </w:rPr>
        <w:t xml:space="preserve"> Pologne)</w:t>
      </w:r>
      <w:r w:rsidR="009D0C95" w:rsidRPr="00901D70">
        <w:rPr>
          <w:rStyle w:val="lev"/>
          <w:b w:val="0"/>
          <w:bCs w:val="0"/>
        </w:rPr>
        <w:t>,</w:t>
      </w:r>
      <w:r w:rsidR="00FF5F63" w:rsidRPr="00901D70">
        <w:rPr>
          <w:rStyle w:val="lev"/>
          <w:b w:val="0"/>
          <w:bCs w:val="0"/>
        </w:rPr>
        <w:t xml:space="preserve"> durant l'année académique 201</w:t>
      </w:r>
      <w:r w:rsidR="00AA7057">
        <w:rPr>
          <w:rStyle w:val="lev"/>
          <w:b w:val="0"/>
          <w:bCs w:val="0"/>
        </w:rPr>
        <w:t>8</w:t>
      </w:r>
      <w:r w:rsidR="00FF5F63" w:rsidRPr="00901D70">
        <w:rPr>
          <w:rStyle w:val="lev"/>
          <w:b w:val="0"/>
          <w:bCs w:val="0"/>
        </w:rPr>
        <w:t>-201</w:t>
      </w:r>
      <w:r w:rsidR="00AA7057">
        <w:rPr>
          <w:rStyle w:val="lev"/>
          <w:b w:val="0"/>
          <w:bCs w:val="0"/>
        </w:rPr>
        <w:t>9</w:t>
      </w:r>
      <w:r w:rsidR="00C16BEB">
        <w:rPr>
          <w:rStyle w:val="lev"/>
          <w:b w:val="0"/>
          <w:bCs w:val="0"/>
        </w:rPr>
        <w:t>.</w:t>
      </w:r>
      <w:r w:rsidR="00EB7343" w:rsidRPr="008C06BB">
        <w:rPr>
          <w:rStyle w:val="lev"/>
          <w:b w:val="0"/>
          <w:bCs w:val="0"/>
        </w:rPr>
        <w:t xml:space="preserve"> </w:t>
      </w:r>
    </w:p>
    <w:p w:rsidR="00B21AC1" w:rsidRDefault="00B21AC1" w:rsidP="00C16BEB">
      <w:pPr>
        <w:spacing w:line="276" w:lineRule="auto"/>
        <w:jc w:val="both"/>
        <w:rPr>
          <w:rStyle w:val="lev"/>
          <w:b w:val="0"/>
          <w:bCs w:val="0"/>
        </w:rPr>
      </w:pPr>
    </w:p>
    <w:p w:rsidR="00EB7343" w:rsidRDefault="00C16BEB" w:rsidP="00481F44">
      <w:pPr>
        <w:spacing w:line="276" w:lineRule="auto"/>
        <w:jc w:val="both"/>
        <w:rPr>
          <w:rStyle w:val="lev"/>
          <w:b w:val="0"/>
          <w:bCs w:val="0"/>
        </w:rPr>
      </w:pPr>
      <w:r w:rsidRPr="008C06BB">
        <w:rPr>
          <w:rStyle w:val="lev"/>
          <w:b w:val="0"/>
          <w:bCs w:val="0"/>
        </w:rPr>
        <w:t>Les</w:t>
      </w:r>
      <w:r w:rsidR="00EB7343" w:rsidRPr="008C06BB">
        <w:rPr>
          <w:rStyle w:val="lev"/>
          <w:b w:val="0"/>
          <w:bCs w:val="0"/>
        </w:rPr>
        <w:t xml:space="preserve"> </w:t>
      </w:r>
      <w:r w:rsidR="007F589C">
        <w:rPr>
          <w:rStyle w:val="lev"/>
          <w:b w:val="0"/>
          <w:bCs w:val="0"/>
        </w:rPr>
        <w:t>spécialités</w:t>
      </w:r>
      <w:r w:rsidR="00EB7343" w:rsidRPr="008C06BB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 xml:space="preserve">concernées et </w:t>
      </w:r>
      <w:r w:rsidR="008C06BB" w:rsidRPr="008C06BB">
        <w:rPr>
          <w:rStyle w:val="lev"/>
          <w:b w:val="0"/>
          <w:bCs w:val="0"/>
        </w:rPr>
        <w:t>les</w:t>
      </w:r>
      <w:r w:rsidR="008C06BB" w:rsidRPr="008C06B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8C06BB" w:rsidRPr="008C06BB">
        <w:rPr>
          <w:rStyle w:val="lev"/>
          <w:b w:val="0"/>
          <w:bCs w:val="0"/>
        </w:rPr>
        <w:t xml:space="preserve">prérequis linguistiques </w:t>
      </w:r>
      <w:r>
        <w:rPr>
          <w:rStyle w:val="lev"/>
          <w:b w:val="0"/>
          <w:bCs w:val="0"/>
        </w:rPr>
        <w:t>sont les suivants</w:t>
      </w:r>
      <w:r w:rsidR="008C06BB" w:rsidRPr="008C06BB">
        <w:rPr>
          <w:rStyle w:val="lev"/>
          <w:rFonts w:hint="cs"/>
          <w:b w:val="0"/>
          <w:bCs w:val="0"/>
          <w:rtl/>
        </w:rPr>
        <w:t xml:space="preserve"> </w:t>
      </w:r>
      <w:r w:rsidR="00EB7343" w:rsidRPr="008C06BB">
        <w:rPr>
          <w:rStyle w:val="lev"/>
          <w:b w:val="0"/>
          <w:bCs w:val="0"/>
        </w:rPr>
        <w:t>:</w:t>
      </w:r>
    </w:p>
    <w:p w:rsidR="00901D70" w:rsidRPr="00901D70" w:rsidRDefault="00901D70" w:rsidP="00901D70">
      <w:pPr>
        <w:spacing w:line="360" w:lineRule="auto"/>
        <w:jc w:val="center"/>
        <w:rPr>
          <w:rStyle w:val="lev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111"/>
      </w:tblGrid>
      <w:tr w:rsidR="00901D70" w:rsidRPr="00901D70" w:rsidTr="00EB70FA">
        <w:tc>
          <w:tcPr>
            <w:tcW w:w="5245" w:type="dxa"/>
            <w:tcBorders>
              <w:right w:val="single" w:sz="4" w:space="0" w:color="auto"/>
            </w:tcBorders>
            <w:shd w:val="clear" w:color="auto" w:fill="D9D9D9"/>
          </w:tcPr>
          <w:p w:rsidR="00901D70" w:rsidRPr="00901D70" w:rsidRDefault="00901D70" w:rsidP="00901D70">
            <w:pPr>
              <w:pStyle w:val="NormalWeb"/>
              <w:spacing w:before="0" w:beforeAutospacing="0" w:after="0" w:afterAutospacing="0"/>
              <w:jc w:val="center"/>
              <w:rPr>
                <w:rStyle w:val="lev"/>
              </w:rPr>
            </w:pPr>
            <w:r w:rsidRPr="00901D70">
              <w:rPr>
                <w:rStyle w:val="lev"/>
              </w:rPr>
              <w:t>Spécialité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/>
          </w:tcPr>
          <w:p w:rsidR="00901D70" w:rsidRPr="00901D70" w:rsidRDefault="00901D70" w:rsidP="00901D70">
            <w:pPr>
              <w:pStyle w:val="NormalWeb"/>
              <w:spacing w:before="0" w:beforeAutospacing="0" w:after="0" w:afterAutospacing="0"/>
              <w:jc w:val="center"/>
              <w:rPr>
                <w:rStyle w:val="lev"/>
              </w:rPr>
            </w:pPr>
            <w:r w:rsidRPr="00901D70">
              <w:rPr>
                <w:rStyle w:val="lev"/>
              </w:rPr>
              <w:t>Prérequis linguistique</w:t>
            </w:r>
          </w:p>
        </w:tc>
      </w:tr>
      <w:tr w:rsidR="008C06BB" w:rsidRPr="00AA3E5D" w:rsidTr="00EB70FA">
        <w:tc>
          <w:tcPr>
            <w:tcW w:w="5245" w:type="dxa"/>
            <w:tcBorders>
              <w:right w:val="single" w:sz="4" w:space="0" w:color="auto"/>
            </w:tcBorders>
          </w:tcPr>
          <w:p w:rsidR="008C06BB" w:rsidRPr="00AA3E5D" w:rsidRDefault="008C06BB" w:rsidP="00AA3E5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lev"/>
                <w:b w:val="0"/>
                <w:bCs w:val="0"/>
              </w:rPr>
            </w:pPr>
            <w:hyperlink r:id="rId9" w:history="1">
              <w:r w:rsidRPr="00AA3E5D">
                <w:rPr>
                  <w:rStyle w:val="lev"/>
                  <w:b w:val="0"/>
                  <w:bCs w:val="0"/>
                </w:rPr>
                <w:t>Etudes économiques européennes</w:t>
              </w:r>
            </w:hyperlink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8C06BB" w:rsidRPr="00AA3E5D" w:rsidRDefault="008C06BB" w:rsidP="00AA3E5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lev"/>
                <w:b w:val="0"/>
                <w:bCs w:val="0"/>
              </w:rPr>
            </w:pPr>
            <w:r w:rsidRPr="00AA3E5D">
              <w:rPr>
                <w:rStyle w:val="lev"/>
                <w:b w:val="0"/>
                <w:bCs w:val="0"/>
              </w:rPr>
              <w:t>Avoir un niveau minimum de B2 pour une langue et un niveau minimum B1 pour l'autre</w:t>
            </w:r>
          </w:p>
        </w:tc>
      </w:tr>
      <w:tr w:rsidR="008C06BB" w:rsidRPr="00AA3E5D" w:rsidTr="00EB70FA">
        <w:tc>
          <w:tcPr>
            <w:tcW w:w="5245" w:type="dxa"/>
            <w:tcBorders>
              <w:right w:val="single" w:sz="4" w:space="0" w:color="auto"/>
            </w:tcBorders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  <w:hyperlink r:id="rId10" w:history="1">
              <w:r w:rsidRPr="00AA3E5D">
                <w:rPr>
                  <w:rStyle w:val="lev"/>
                  <w:b w:val="0"/>
                  <w:bCs w:val="0"/>
                </w:rPr>
                <w:t>Etudes européennes interdisciplinaires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</w:p>
        </w:tc>
      </w:tr>
      <w:tr w:rsidR="008C06BB" w:rsidRPr="00AA3E5D" w:rsidTr="00EB70FA">
        <w:tc>
          <w:tcPr>
            <w:tcW w:w="5245" w:type="dxa"/>
            <w:tcBorders>
              <w:right w:val="single" w:sz="4" w:space="0" w:color="auto"/>
            </w:tcBorders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  <w:hyperlink r:id="rId11" w:history="1">
              <w:r w:rsidRPr="00AA3E5D">
                <w:rPr>
                  <w:rStyle w:val="lev"/>
                  <w:b w:val="0"/>
                  <w:bCs w:val="0"/>
                </w:rPr>
                <w:t>Etudes juridiques européennes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</w:p>
        </w:tc>
      </w:tr>
      <w:tr w:rsidR="008C06BB" w:rsidRPr="00AA3E5D" w:rsidTr="00EB70FA">
        <w:tc>
          <w:tcPr>
            <w:tcW w:w="5245" w:type="dxa"/>
            <w:tcBorders>
              <w:right w:val="single" w:sz="4" w:space="0" w:color="auto"/>
            </w:tcBorders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  <w:hyperlink r:id="rId12" w:history="1">
              <w:r w:rsidRPr="00AA3E5D">
                <w:rPr>
                  <w:rStyle w:val="lev"/>
                  <w:b w:val="0"/>
                  <w:bCs w:val="0"/>
                </w:rPr>
                <w:t>Etudes politiques et administratives européennes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</w:p>
        </w:tc>
      </w:tr>
      <w:tr w:rsidR="008C06BB" w:rsidRPr="00AA3E5D" w:rsidTr="00EB70FA">
        <w:tc>
          <w:tcPr>
            <w:tcW w:w="5245" w:type="dxa"/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  <w:hyperlink r:id="rId13" w:history="1">
              <w:r w:rsidRPr="00AA3E5D">
                <w:rPr>
                  <w:rStyle w:val="lev"/>
                  <w:b w:val="0"/>
                  <w:bCs w:val="0"/>
                </w:rPr>
                <w:t>Etudes en relations internationales et diplomatiques de l'UE</w:t>
              </w:r>
            </w:hyperlink>
          </w:p>
        </w:tc>
        <w:tc>
          <w:tcPr>
            <w:tcW w:w="4111" w:type="dxa"/>
          </w:tcPr>
          <w:p w:rsidR="008C06BB" w:rsidRPr="00AA3E5D" w:rsidRDefault="008C06BB" w:rsidP="00AA3E5D">
            <w:pPr>
              <w:shd w:val="clear" w:color="auto" w:fill="FFFFFF"/>
              <w:spacing w:before="100" w:beforeAutospacing="1"/>
              <w:rPr>
                <w:rStyle w:val="lev"/>
                <w:b w:val="0"/>
                <w:bCs w:val="0"/>
              </w:rPr>
            </w:pPr>
            <w:r w:rsidRPr="00AA3E5D">
              <w:rPr>
                <w:rStyle w:val="lev"/>
                <w:b w:val="0"/>
                <w:bCs w:val="0"/>
              </w:rPr>
              <w:t>Avoir un niveau minimum de C1 en anglais et de B1 / B2 en français</w:t>
            </w:r>
          </w:p>
        </w:tc>
      </w:tr>
    </w:tbl>
    <w:p w:rsidR="00481F44" w:rsidRDefault="00481F44" w:rsidP="00481F44">
      <w:pPr>
        <w:spacing w:line="276" w:lineRule="auto"/>
        <w:jc w:val="both"/>
        <w:rPr>
          <w:rStyle w:val="lev"/>
          <w:b w:val="0"/>
          <w:bCs w:val="0"/>
        </w:rPr>
      </w:pPr>
    </w:p>
    <w:p w:rsidR="00FF5F63" w:rsidRPr="008C06BB" w:rsidRDefault="00FF5F63" w:rsidP="00481F44">
      <w:pPr>
        <w:spacing w:line="276" w:lineRule="auto"/>
        <w:jc w:val="both"/>
        <w:rPr>
          <w:rStyle w:val="lev"/>
          <w:b w:val="0"/>
          <w:bCs w:val="0"/>
        </w:rPr>
      </w:pPr>
      <w:r w:rsidRPr="008C06BB">
        <w:rPr>
          <w:rStyle w:val="lev"/>
          <w:b w:val="0"/>
          <w:bCs w:val="0"/>
        </w:rPr>
        <w:t xml:space="preserve">Ces bourses couvrent les frais académiques ainsi que le logement, les repas et les frais de voyage. </w:t>
      </w:r>
    </w:p>
    <w:p w:rsidR="00481F44" w:rsidRDefault="00481F44" w:rsidP="00C16BEB">
      <w:pPr>
        <w:pStyle w:val="NormalWeb"/>
        <w:shd w:val="clear" w:color="auto" w:fill="FFFFFF"/>
        <w:spacing w:before="0" w:beforeAutospacing="0" w:after="69" w:afterAutospacing="0" w:line="276" w:lineRule="auto"/>
        <w:jc w:val="both"/>
        <w:rPr>
          <w:rStyle w:val="lev"/>
          <w:b w:val="0"/>
          <w:bCs w:val="0"/>
        </w:rPr>
      </w:pPr>
    </w:p>
    <w:p w:rsidR="002B1788" w:rsidRPr="008C06BB" w:rsidRDefault="00FF5F63" w:rsidP="00423C5F">
      <w:pPr>
        <w:pStyle w:val="NormalWeb"/>
        <w:shd w:val="clear" w:color="auto" w:fill="FFFFFF"/>
        <w:spacing w:before="0" w:beforeAutospacing="0" w:after="69" w:afterAutospacing="0" w:line="276" w:lineRule="auto"/>
        <w:jc w:val="both"/>
        <w:rPr>
          <w:rStyle w:val="lev"/>
          <w:b w:val="0"/>
          <w:bCs w:val="0"/>
        </w:rPr>
      </w:pPr>
      <w:r w:rsidRPr="008C06BB">
        <w:rPr>
          <w:rStyle w:val="lev"/>
          <w:b w:val="0"/>
          <w:bCs w:val="0"/>
        </w:rPr>
        <w:t>Les candidats sont appelés a consulter le site internet du Collège</w:t>
      </w:r>
      <w:r w:rsidR="002B1788" w:rsidRPr="008C06BB">
        <w:rPr>
          <w:rStyle w:val="lev"/>
          <w:b w:val="0"/>
          <w:bCs w:val="0"/>
        </w:rPr>
        <w:t xml:space="preserve">: </w:t>
      </w:r>
      <w:hyperlink r:id="rId14" w:history="1">
        <w:r w:rsidR="00F51791" w:rsidRPr="008C06BB">
          <w:rPr>
            <w:rStyle w:val="Lienhypertexte"/>
            <w:u w:val="none"/>
          </w:rPr>
          <w:t>www.coleurope.eu </w:t>
        </w:r>
      </w:hyperlink>
      <w:r w:rsidRPr="008C06BB">
        <w:rPr>
          <w:rStyle w:val="lev"/>
          <w:b w:val="0"/>
          <w:bCs w:val="0"/>
        </w:rPr>
        <w:t> afin d'obtenir toutes les informations nécessaires concernant</w:t>
      </w:r>
      <w:r w:rsidR="009D0C95" w:rsidRPr="008C06BB">
        <w:rPr>
          <w:rStyle w:val="lev"/>
          <w:b w:val="0"/>
          <w:bCs w:val="0"/>
        </w:rPr>
        <w:t xml:space="preserve"> les p</w:t>
      </w:r>
      <w:r w:rsidRPr="008C06BB">
        <w:rPr>
          <w:rStyle w:val="lev"/>
          <w:b w:val="0"/>
          <w:bCs w:val="0"/>
        </w:rPr>
        <w:t>rogrammes</w:t>
      </w:r>
      <w:r w:rsidR="009D0C95" w:rsidRPr="008C06BB">
        <w:rPr>
          <w:rStyle w:val="lev"/>
          <w:b w:val="0"/>
          <w:bCs w:val="0"/>
        </w:rPr>
        <w:t>, les</w:t>
      </w:r>
      <w:r w:rsidRPr="008C06BB">
        <w:rPr>
          <w:rStyle w:val="lev"/>
          <w:b w:val="0"/>
          <w:bCs w:val="0"/>
        </w:rPr>
        <w:t xml:space="preserve"> conditions</w:t>
      </w:r>
      <w:r w:rsidR="00481F44">
        <w:rPr>
          <w:rStyle w:val="lev"/>
          <w:b w:val="0"/>
          <w:bCs w:val="0"/>
        </w:rPr>
        <w:t xml:space="preserve"> d’admission, les prérequis linguistiques</w:t>
      </w:r>
      <w:r w:rsidRPr="008C06BB">
        <w:rPr>
          <w:rStyle w:val="lev"/>
          <w:b w:val="0"/>
          <w:bCs w:val="0"/>
        </w:rPr>
        <w:t xml:space="preserve"> </w:t>
      </w:r>
      <w:r w:rsidR="00C16BEB">
        <w:rPr>
          <w:rStyle w:val="lev"/>
          <w:b w:val="0"/>
          <w:bCs w:val="0"/>
        </w:rPr>
        <w:t>et les procédures d'admission</w:t>
      </w:r>
      <w:r w:rsidRPr="008C06BB">
        <w:rPr>
          <w:rStyle w:val="lev"/>
          <w:b w:val="0"/>
          <w:bCs w:val="0"/>
        </w:rPr>
        <w:t>.</w:t>
      </w:r>
      <w:r w:rsidR="002B1788" w:rsidRPr="008C06BB">
        <w:rPr>
          <w:rStyle w:val="lev"/>
          <w:b w:val="0"/>
          <w:bCs w:val="0"/>
        </w:rPr>
        <w:t xml:space="preserve"> </w:t>
      </w:r>
    </w:p>
    <w:p w:rsidR="00481F44" w:rsidRDefault="00481F44" w:rsidP="00481F44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lev"/>
          <w:b w:val="0"/>
          <w:bCs w:val="0"/>
        </w:rPr>
      </w:pPr>
    </w:p>
    <w:p w:rsidR="008C06BB" w:rsidRPr="008C06BB" w:rsidRDefault="00FF5F63" w:rsidP="00423C5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lev"/>
          <w:b w:val="0"/>
          <w:bCs w:val="0"/>
        </w:rPr>
      </w:pPr>
      <w:r w:rsidRPr="00481F44">
        <w:rPr>
          <w:rStyle w:val="lev"/>
          <w:b w:val="0"/>
          <w:bCs w:val="0"/>
        </w:rPr>
        <w:t>Les candidats doivent s'enregistrer et </w:t>
      </w:r>
      <w:hyperlink r:id="rId15" w:history="1">
        <w:r w:rsidRPr="00481F44">
          <w:rPr>
            <w:rStyle w:val="lev"/>
            <w:b w:val="0"/>
            <w:bCs w:val="0"/>
          </w:rPr>
          <w:t>introduire leur demande d'admission en ligne</w:t>
        </w:r>
      </w:hyperlink>
      <w:r w:rsidRPr="00481F44">
        <w:rPr>
          <w:rStyle w:val="lev"/>
          <w:b w:val="0"/>
          <w:bCs w:val="0"/>
        </w:rPr>
        <w:t> </w:t>
      </w:r>
      <w:r w:rsidR="009D0C95" w:rsidRPr="00481F44">
        <w:rPr>
          <w:rStyle w:val="lev"/>
          <w:b w:val="0"/>
          <w:bCs w:val="0"/>
        </w:rPr>
        <w:t xml:space="preserve">dans la rubrique </w:t>
      </w:r>
      <w:r w:rsidRPr="00481F44">
        <w:rPr>
          <w:rStyle w:val="lev"/>
          <w:b w:val="0"/>
          <w:bCs w:val="0"/>
        </w:rPr>
        <w:t>admission</w:t>
      </w:r>
      <w:r w:rsidR="009E3B00" w:rsidRPr="00481F44">
        <w:rPr>
          <w:rStyle w:val="lev"/>
          <w:b w:val="0"/>
          <w:bCs w:val="0"/>
        </w:rPr>
        <w:t>-</w:t>
      </w:r>
      <w:r w:rsidRPr="00481F44">
        <w:rPr>
          <w:rStyle w:val="lev"/>
          <w:b w:val="0"/>
          <w:bCs w:val="0"/>
        </w:rPr>
        <w:t>candidatur</w:t>
      </w:r>
      <w:r w:rsidR="009D0C95" w:rsidRPr="00481F44">
        <w:rPr>
          <w:rStyle w:val="lev"/>
          <w:b w:val="0"/>
          <w:bCs w:val="0"/>
        </w:rPr>
        <w:t>e en ligne du site indiqué</w:t>
      </w:r>
      <w:r w:rsidR="005F2111" w:rsidRPr="00481F44">
        <w:rPr>
          <w:rStyle w:val="lev"/>
          <w:b w:val="0"/>
          <w:bCs w:val="0"/>
        </w:rPr>
        <w:t xml:space="preserve"> </w:t>
      </w:r>
      <w:r w:rsidR="00481F44" w:rsidRPr="00481F44">
        <w:rPr>
          <w:rStyle w:val="lev"/>
          <w:b w:val="0"/>
          <w:bCs w:val="0"/>
        </w:rPr>
        <w:t>accompagnée</w:t>
      </w:r>
      <w:r w:rsidR="00423C5F">
        <w:rPr>
          <w:rStyle w:val="lev"/>
          <w:b w:val="0"/>
          <w:bCs w:val="0"/>
        </w:rPr>
        <w:t xml:space="preserve"> </w:t>
      </w:r>
      <w:r w:rsidR="00481F44" w:rsidRPr="00481F44">
        <w:rPr>
          <w:rStyle w:val="lev"/>
          <w:b w:val="0"/>
          <w:bCs w:val="0"/>
        </w:rPr>
        <w:t>de tous les documents requis (cf. </w:t>
      </w:r>
      <w:hyperlink r:id="rId16" w:history="1">
        <w:r w:rsidR="00481F44" w:rsidRPr="00481F44">
          <w:rPr>
            <w:rStyle w:val="lev"/>
            <w:b w:val="0"/>
            <w:bCs w:val="0"/>
          </w:rPr>
          <w:t>instructions d'admission</w:t>
        </w:r>
      </w:hyperlink>
      <w:r w:rsidR="00481F44" w:rsidRPr="00481F44">
        <w:rPr>
          <w:rStyle w:val="lev"/>
          <w:b w:val="0"/>
          <w:bCs w:val="0"/>
        </w:rPr>
        <w:t>)</w:t>
      </w:r>
      <w:r w:rsidR="00481F44">
        <w:rPr>
          <w:rStyle w:val="lev"/>
          <w:b w:val="0"/>
          <w:bCs w:val="0"/>
        </w:rPr>
        <w:t xml:space="preserve">, </w:t>
      </w:r>
      <w:r w:rsidR="005F2111" w:rsidRPr="008C06BB">
        <w:rPr>
          <w:rStyle w:val="lev"/>
          <w:b w:val="0"/>
          <w:bCs w:val="0"/>
        </w:rPr>
        <w:t xml:space="preserve">avant la date limite </w:t>
      </w:r>
      <w:r w:rsidR="00423C5F">
        <w:rPr>
          <w:rStyle w:val="lev"/>
          <w:b w:val="0"/>
          <w:bCs w:val="0"/>
        </w:rPr>
        <w:t xml:space="preserve">fixé au </w:t>
      </w:r>
      <w:r w:rsidR="005F2111" w:rsidRPr="008C06BB">
        <w:rPr>
          <w:rStyle w:val="lev"/>
          <w:b w:val="0"/>
          <w:bCs w:val="0"/>
        </w:rPr>
        <w:t xml:space="preserve"> 1</w:t>
      </w:r>
      <w:r w:rsidR="00AA7057">
        <w:rPr>
          <w:rStyle w:val="lev"/>
          <w:b w:val="0"/>
          <w:bCs w:val="0"/>
        </w:rPr>
        <w:t>7</w:t>
      </w:r>
      <w:r w:rsidR="005F2111" w:rsidRPr="008C06BB">
        <w:rPr>
          <w:rStyle w:val="lev"/>
          <w:b w:val="0"/>
          <w:bCs w:val="0"/>
        </w:rPr>
        <w:t xml:space="preserve"> janvier 201</w:t>
      </w:r>
      <w:r w:rsidR="00AA7057">
        <w:rPr>
          <w:rStyle w:val="lev"/>
          <w:b w:val="0"/>
          <w:bCs w:val="0"/>
        </w:rPr>
        <w:t>8</w:t>
      </w:r>
      <w:r w:rsidR="005F2111" w:rsidRPr="008C06BB">
        <w:rPr>
          <w:rStyle w:val="lev"/>
          <w:b w:val="0"/>
          <w:bCs w:val="0"/>
        </w:rPr>
        <w:t>.</w:t>
      </w:r>
      <w:r w:rsidR="008C06BB" w:rsidRPr="008C06BB">
        <w:rPr>
          <w:rStyle w:val="lev"/>
          <w:b w:val="0"/>
          <w:bCs w:val="0"/>
        </w:rPr>
        <w:t xml:space="preserve"> </w:t>
      </w:r>
    </w:p>
    <w:p w:rsidR="00481F44" w:rsidRDefault="00481F44" w:rsidP="00B21AC1">
      <w:pPr>
        <w:pStyle w:val="NormalWeb"/>
        <w:shd w:val="clear" w:color="auto" w:fill="FFFFFF"/>
        <w:spacing w:before="0" w:beforeAutospacing="0" w:after="69" w:afterAutospacing="0" w:line="276" w:lineRule="auto"/>
        <w:jc w:val="both"/>
        <w:rPr>
          <w:rStyle w:val="lev"/>
          <w:b w:val="0"/>
          <w:bCs w:val="0"/>
        </w:rPr>
      </w:pPr>
    </w:p>
    <w:p w:rsidR="00760CD6" w:rsidRDefault="00C16BEB" w:rsidP="00B21AC1">
      <w:pPr>
        <w:pStyle w:val="NormalWeb"/>
        <w:shd w:val="clear" w:color="auto" w:fill="FFFFFF"/>
        <w:spacing w:before="0" w:beforeAutospacing="0" w:after="69" w:afterAutospacing="0" w:line="276" w:lineRule="auto"/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L</w:t>
      </w:r>
      <w:r w:rsidR="008C06BB" w:rsidRPr="008C06BB">
        <w:rPr>
          <w:rStyle w:val="lev"/>
          <w:b w:val="0"/>
          <w:bCs w:val="0"/>
        </w:rPr>
        <w:t>es demandes</w:t>
      </w:r>
      <w:r>
        <w:rPr>
          <w:rStyle w:val="lev"/>
          <w:b w:val="0"/>
          <w:bCs w:val="0"/>
        </w:rPr>
        <w:t xml:space="preserve"> recevables</w:t>
      </w:r>
      <w:r w:rsidR="008C06BB" w:rsidRPr="008C06BB">
        <w:rPr>
          <w:rStyle w:val="lev"/>
          <w:b w:val="0"/>
          <w:bCs w:val="0"/>
        </w:rPr>
        <w:t xml:space="preserve"> seront évaluées par les départements d'études au Collège d'Europe et une présélection sera faite. Les candidats présélectionnés seront invités à un entretien</w:t>
      </w:r>
      <w:r w:rsidR="00901D70">
        <w:rPr>
          <w:rStyle w:val="lev"/>
          <w:b w:val="0"/>
          <w:bCs w:val="0"/>
        </w:rPr>
        <w:t xml:space="preserve"> </w:t>
      </w:r>
      <w:r>
        <w:rPr>
          <w:rStyle w:val="lev"/>
          <w:b w:val="0"/>
          <w:bCs w:val="0"/>
        </w:rPr>
        <w:t xml:space="preserve">de sélection </w:t>
      </w:r>
      <w:r w:rsidR="00901D70">
        <w:rPr>
          <w:rStyle w:val="lev"/>
          <w:b w:val="0"/>
          <w:bCs w:val="0"/>
        </w:rPr>
        <w:t>qui se déroule</w:t>
      </w:r>
      <w:r>
        <w:rPr>
          <w:rStyle w:val="lev"/>
          <w:b w:val="0"/>
          <w:bCs w:val="0"/>
        </w:rPr>
        <w:t>ra</w:t>
      </w:r>
      <w:r w:rsidR="00901D70">
        <w:rPr>
          <w:rStyle w:val="lev"/>
          <w:b w:val="0"/>
          <w:bCs w:val="0"/>
        </w:rPr>
        <w:t xml:space="preserve"> au siège du Ministère de l’Enseignement </w:t>
      </w:r>
      <w:r w:rsidR="009C7ACF">
        <w:rPr>
          <w:rStyle w:val="lev"/>
          <w:b w:val="0"/>
          <w:bCs w:val="0"/>
        </w:rPr>
        <w:t xml:space="preserve"> </w:t>
      </w:r>
      <w:r w:rsidR="00901D70">
        <w:rPr>
          <w:rStyle w:val="lev"/>
          <w:b w:val="0"/>
          <w:bCs w:val="0"/>
        </w:rPr>
        <w:t>Supérieur et de la</w:t>
      </w:r>
      <w:r w:rsidR="00B21AC1">
        <w:rPr>
          <w:rStyle w:val="lev"/>
          <w:b w:val="0"/>
          <w:bCs w:val="0"/>
        </w:rPr>
        <w:t xml:space="preserve"> Recherche Scientifique </w:t>
      </w:r>
      <w:r w:rsidR="00423C5F">
        <w:rPr>
          <w:rStyle w:val="lev"/>
          <w:b w:val="0"/>
          <w:bCs w:val="0"/>
        </w:rPr>
        <w:t>(</w:t>
      </w:r>
      <w:r w:rsidR="00B21AC1">
        <w:rPr>
          <w:rStyle w:val="lev"/>
          <w:b w:val="0"/>
          <w:bCs w:val="0"/>
        </w:rPr>
        <w:t>Tunisie</w:t>
      </w:r>
      <w:r w:rsidR="00423C5F">
        <w:rPr>
          <w:rStyle w:val="lev"/>
          <w:b w:val="0"/>
          <w:bCs w:val="0"/>
        </w:rPr>
        <w:t>)</w:t>
      </w:r>
      <w:r w:rsidR="00B21AC1">
        <w:rPr>
          <w:rStyle w:val="lev"/>
          <w:b w:val="0"/>
          <w:bCs w:val="0"/>
        </w:rPr>
        <w:t xml:space="preserve">, et sera conduit par un </w:t>
      </w:r>
      <w:r w:rsidR="00901D70">
        <w:rPr>
          <w:rStyle w:val="lev"/>
          <w:b w:val="0"/>
          <w:bCs w:val="0"/>
        </w:rPr>
        <w:t xml:space="preserve">comité </w:t>
      </w:r>
      <w:r w:rsidR="00B21AC1">
        <w:rPr>
          <w:rStyle w:val="lev"/>
          <w:b w:val="0"/>
          <w:bCs w:val="0"/>
        </w:rPr>
        <w:t>mixte désigné par le Ministère et le Collège d’Europe.</w:t>
      </w:r>
      <w:r w:rsidR="008C06BB" w:rsidRPr="008C06BB">
        <w:rPr>
          <w:rStyle w:val="lev"/>
          <w:b w:val="0"/>
          <w:bCs w:val="0"/>
        </w:rPr>
        <w:t xml:space="preserve"> Les candidats </w:t>
      </w:r>
      <w:r w:rsidR="003B6629">
        <w:rPr>
          <w:rStyle w:val="lev"/>
          <w:b w:val="0"/>
          <w:bCs w:val="0"/>
        </w:rPr>
        <w:t xml:space="preserve">retenus </w:t>
      </w:r>
      <w:r w:rsidR="008C06BB" w:rsidRPr="008C06BB">
        <w:rPr>
          <w:rStyle w:val="lev"/>
          <w:b w:val="0"/>
          <w:bCs w:val="0"/>
        </w:rPr>
        <w:t>seront informés par courrier électronique.</w:t>
      </w:r>
    </w:p>
    <w:p w:rsidR="00367C06" w:rsidRDefault="00367C06" w:rsidP="00367C0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.</w:t>
      </w:r>
    </w:p>
    <w:sectPr w:rsidR="00367C06" w:rsidSect="009C7ACF"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65B"/>
    <w:multiLevelType w:val="hybridMultilevel"/>
    <w:tmpl w:val="9DA6819E"/>
    <w:lvl w:ilvl="0" w:tplc="92AC4C1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5D23204"/>
    <w:multiLevelType w:val="hybridMultilevel"/>
    <w:tmpl w:val="206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88E"/>
    <w:multiLevelType w:val="multilevel"/>
    <w:tmpl w:val="685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E7A44"/>
    <w:multiLevelType w:val="hybridMultilevel"/>
    <w:tmpl w:val="4FDAB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263A78"/>
    <w:rsid w:val="000070E2"/>
    <w:rsid w:val="00061AE0"/>
    <w:rsid w:val="00062761"/>
    <w:rsid w:val="000B683E"/>
    <w:rsid w:val="000F028A"/>
    <w:rsid w:val="001921E3"/>
    <w:rsid w:val="001E0E41"/>
    <w:rsid w:val="00223085"/>
    <w:rsid w:val="00246129"/>
    <w:rsid w:val="002631C9"/>
    <w:rsid w:val="00263A78"/>
    <w:rsid w:val="002B1788"/>
    <w:rsid w:val="002D3F99"/>
    <w:rsid w:val="00367C06"/>
    <w:rsid w:val="003B6629"/>
    <w:rsid w:val="00423C5F"/>
    <w:rsid w:val="00481F44"/>
    <w:rsid w:val="004B361C"/>
    <w:rsid w:val="00550922"/>
    <w:rsid w:val="00592856"/>
    <w:rsid w:val="005D0BF6"/>
    <w:rsid w:val="005F2111"/>
    <w:rsid w:val="00664AB9"/>
    <w:rsid w:val="006E089D"/>
    <w:rsid w:val="006F7492"/>
    <w:rsid w:val="00760CD6"/>
    <w:rsid w:val="007701F0"/>
    <w:rsid w:val="007F589C"/>
    <w:rsid w:val="007F7814"/>
    <w:rsid w:val="00815B3E"/>
    <w:rsid w:val="008537C1"/>
    <w:rsid w:val="00860C0C"/>
    <w:rsid w:val="008876D3"/>
    <w:rsid w:val="008A439A"/>
    <w:rsid w:val="008B2631"/>
    <w:rsid w:val="008C06BB"/>
    <w:rsid w:val="00901D70"/>
    <w:rsid w:val="009C7ACF"/>
    <w:rsid w:val="009D0C95"/>
    <w:rsid w:val="009E3B00"/>
    <w:rsid w:val="00A01EDC"/>
    <w:rsid w:val="00A20EA5"/>
    <w:rsid w:val="00A85B9B"/>
    <w:rsid w:val="00AA3E5D"/>
    <w:rsid w:val="00AA7057"/>
    <w:rsid w:val="00B21AC1"/>
    <w:rsid w:val="00B37E8A"/>
    <w:rsid w:val="00C16BEB"/>
    <w:rsid w:val="00C26FB2"/>
    <w:rsid w:val="00C4160D"/>
    <w:rsid w:val="00C44A61"/>
    <w:rsid w:val="00C60DC7"/>
    <w:rsid w:val="00D43CF6"/>
    <w:rsid w:val="00D907B1"/>
    <w:rsid w:val="00E923C7"/>
    <w:rsid w:val="00EA5579"/>
    <w:rsid w:val="00EB70FA"/>
    <w:rsid w:val="00EB7343"/>
    <w:rsid w:val="00F27F08"/>
    <w:rsid w:val="00F377CE"/>
    <w:rsid w:val="00F51791"/>
    <w:rsid w:val="00F96634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567"/>
      <w:jc w:val="both"/>
    </w:pPr>
    <w:rPr>
      <w:sz w:val="28"/>
      <w:szCs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70">
    <w:name w:val="style70"/>
    <w:basedOn w:val="Normal"/>
    <w:rsid w:val="0059285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92856"/>
    <w:pPr>
      <w:spacing w:before="100" w:beforeAutospacing="1" w:after="100" w:afterAutospacing="1"/>
    </w:pPr>
  </w:style>
  <w:style w:type="character" w:customStyle="1" w:styleId="redmedium">
    <w:name w:val="redmedium"/>
    <w:basedOn w:val="Policepardfaut"/>
    <w:rsid w:val="00592856"/>
  </w:style>
  <w:style w:type="character" w:customStyle="1" w:styleId="style8">
    <w:name w:val="style8"/>
    <w:basedOn w:val="Policepardfaut"/>
    <w:rsid w:val="00592856"/>
  </w:style>
  <w:style w:type="paragraph" w:styleId="NormalWeb">
    <w:name w:val="Normal (Web)"/>
    <w:basedOn w:val="Normal"/>
    <w:uiPriority w:val="99"/>
    <w:unhideWhenUsed/>
    <w:rsid w:val="006F74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F5F63"/>
  </w:style>
  <w:style w:type="character" w:styleId="Accentuation">
    <w:name w:val="Emphasis"/>
    <w:basedOn w:val="Policepardfaut"/>
    <w:uiPriority w:val="20"/>
    <w:qFormat/>
    <w:rsid w:val="005D0BF6"/>
    <w:rPr>
      <w:i/>
      <w:iCs/>
    </w:rPr>
  </w:style>
  <w:style w:type="table" w:styleId="Grilledutableau">
    <w:name w:val="Table Grid"/>
    <w:basedOn w:val="TableauNormal"/>
    <w:rsid w:val="008C0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europe.eu/fr/page-ref/prerequis-linguistiques-0" TargetMode="External"/><Relationship Id="rId13" Type="http://schemas.openxmlformats.org/officeDocument/2006/relationships/hyperlink" Target="https://www.coleurope.eu/fr/admissions/conditions-dadmission/admiss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leurope.eu/fr/website/etudier/service-des-langues/les-prerequis-linguistiques" TargetMode="External"/><Relationship Id="rId12" Type="http://schemas.openxmlformats.org/officeDocument/2006/relationships/hyperlink" Target="https://www.coleurope.eu/fr/admissions/conditions-dadmission/admission-au-programme-detudes-politiques-et-administrativ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leurope.eu/fr/conditions-dadmission/candidature-dadmission-en-ligne/note-explicative-concerna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leurope.eu/fr/admissions/conditions-dadmission/admission-au-programme-detudes-juridiques-europeen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europe.eu/fr/website/etudier/conditions-dadmission/candidature-dadmission-en-ligne" TargetMode="External"/><Relationship Id="rId10" Type="http://schemas.openxmlformats.org/officeDocument/2006/relationships/hyperlink" Target="https://www.coleurope.eu/fr/admissions/conditions-dadmission/admission-au-programme-detudes-europeennes-interdisciplina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europe.eu/fr/admissions/conditions-dadmission/etudes-economiques-europeennes-generales-admission" TargetMode="External"/><Relationship Id="rId14" Type="http://schemas.openxmlformats.org/officeDocument/2006/relationships/hyperlink" Target="http://www.coleurope.eu&#160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00D5-5A48-4176-832A-8514F2C9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>MRSTDC</Company>
  <LinksUpToDate>false</LinksUpToDate>
  <CharactersWithSpaces>3440</CharactersWithSpaces>
  <SharedDoc>false</SharedDoc>
  <HLinks>
    <vt:vector size="60" baseType="variant">
      <vt:variant>
        <vt:i4>4849667</vt:i4>
      </vt:variant>
      <vt:variant>
        <vt:i4>27</vt:i4>
      </vt:variant>
      <vt:variant>
        <vt:i4>0</vt:i4>
      </vt:variant>
      <vt:variant>
        <vt:i4>5</vt:i4>
      </vt:variant>
      <vt:variant>
        <vt:lpwstr>https://www.coleurope.eu/fr/conditions-dadmission/candidature-dadmission-en-ligne/note-explicative-concernant</vt:lpwstr>
      </vt:variant>
      <vt:variant>
        <vt:lpwstr/>
      </vt:variant>
      <vt:variant>
        <vt:i4>65540</vt:i4>
      </vt:variant>
      <vt:variant>
        <vt:i4>24</vt:i4>
      </vt:variant>
      <vt:variant>
        <vt:i4>0</vt:i4>
      </vt:variant>
      <vt:variant>
        <vt:i4>5</vt:i4>
      </vt:variant>
      <vt:variant>
        <vt:lpwstr>https://www.coleurope.eu/fr/website/etudier/conditions-dadmission/candidature-dadmission-en-ligne</vt:lpwstr>
      </vt:variant>
      <vt:variant>
        <vt:lpwstr/>
      </vt:variant>
      <vt:variant>
        <vt:i4>10354691</vt:i4>
      </vt:variant>
      <vt:variant>
        <vt:i4>21</vt:i4>
      </vt:variant>
      <vt:variant>
        <vt:i4>0</vt:i4>
      </vt:variant>
      <vt:variant>
        <vt:i4>5</vt:i4>
      </vt:variant>
      <vt:variant>
        <vt:lpwstr>http://www.coleurope.eu 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https://www.coleurope.eu/fr/admissions/conditions-dadmission/admission</vt:lpwstr>
      </vt:variant>
      <vt:variant>
        <vt:lpwstr/>
      </vt:variant>
      <vt:variant>
        <vt:i4>131081</vt:i4>
      </vt:variant>
      <vt:variant>
        <vt:i4>15</vt:i4>
      </vt:variant>
      <vt:variant>
        <vt:i4>0</vt:i4>
      </vt:variant>
      <vt:variant>
        <vt:i4>5</vt:i4>
      </vt:variant>
      <vt:variant>
        <vt:lpwstr>https://www.coleurope.eu/fr/admissions/conditions-dadmission/admission-au-programme-detudes-politiques-et-administratives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https://www.coleurope.eu/fr/admissions/conditions-dadmission/admission-au-programme-detudes-juridiques-europeennes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https://www.coleurope.eu/fr/admissions/conditions-dadmission/admission-au-programme-detudes-europeennes-interdisciplinaires</vt:lpwstr>
      </vt:variant>
      <vt:variant>
        <vt:lpwstr/>
      </vt:variant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https://www.coleurope.eu/fr/admissions/conditions-dadmission/etudes-economiques-europeennes-generales-admission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https://www.coleurope.eu/fr/page-ref/prerequis-linguistiques-0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https://www.coleurope.eu/fr/website/etudier/service-des-langues/les-prerequis-linguistiques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subject/>
  <dc:creator>ROUISSI</dc:creator>
  <cp:keywords/>
  <cp:lastModifiedBy>esce</cp:lastModifiedBy>
  <cp:revision>2</cp:revision>
  <cp:lastPrinted>2016-11-24T08:05:00Z</cp:lastPrinted>
  <dcterms:created xsi:type="dcterms:W3CDTF">2017-11-22T08:28:00Z</dcterms:created>
  <dcterms:modified xsi:type="dcterms:W3CDTF">2017-11-22T08:28:00Z</dcterms:modified>
</cp:coreProperties>
</file>